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34E" w:rsidRDefault="00D83D28">
      <w:pPr>
        <w:pStyle w:val="Heading2"/>
        <w:spacing w:before="74" w:line="320" w:lineRule="exact"/>
      </w:pPr>
      <w:r>
        <w:t>Григорьева Александра</w:t>
      </w:r>
      <w:r>
        <w:rPr>
          <w:spacing w:val="-10"/>
        </w:rPr>
        <w:t xml:space="preserve"> </w:t>
      </w:r>
      <w:r>
        <w:t>Сергеевна</w:t>
      </w:r>
    </w:p>
    <w:p w:rsidR="001E434E" w:rsidRDefault="00D83D28">
      <w:pPr>
        <w:spacing w:line="319" w:lineRule="exact"/>
        <w:ind w:right="1095"/>
        <w:jc w:val="right"/>
        <w:rPr>
          <w:i/>
          <w:sz w:val="28"/>
        </w:rPr>
      </w:pPr>
      <w:r>
        <w:rPr>
          <w:i/>
          <w:sz w:val="28"/>
        </w:rPr>
        <w:t>студент Забайкальского института железнодорожного</w:t>
      </w:r>
      <w:r>
        <w:rPr>
          <w:i/>
          <w:spacing w:val="-38"/>
          <w:sz w:val="28"/>
        </w:rPr>
        <w:t xml:space="preserve"> </w:t>
      </w:r>
      <w:r>
        <w:rPr>
          <w:i/>
          <w:sz w:val="28"/>
        </w:rPr>
        <w:t>транспорта</w:t>
      </w:r>
    </w:p>
    <w:p w:rsidR="001E434E" w:rsidRDefault="00D83D28">
      <w:pPr>
        <w:ind w:right="1091"/>
        <w:jc w:val="right"/>
        <w:rPr>
          <w:i/>
          <w:sz w:val="28"/>
        </w:rPr>
      </w:pPr>
      <w:r>
        <w:rPr>
          <w:i/>
          <w:sz w:val="28"/>
        </w:rPr>
        <w:t xml:space="preserve">Россия, </w:t>
      </w:r>
      <w:proofErr w:type="gramStart"/>
      <w:r>
        <w:rPr>
          <w:i/>
          <w:sz w:val="28"/>
        </w:rPr>
        <w:t>г</w:t>
      </w:r>
      <w:proofErr w:type="gramEnd"/>
      <w:r>
        <w:rPr>
          <w:i/>
          <w:sz w:val="28"/>
        </w:rPr>
        <w:t>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Чита</w:t>
      </w:r>
    </w:p>
    <w:p w:rsidR="001E434E" w:rsidRDefault="00D83D28">
      <w:pPr>
        <w:pStyle w:val="Heading2"/>
        <w:ind w:right="1092"/>
      </w:pPr>
      <w:r>
        <w:t>Полякова Светлана</w:t>
      </w:r>
      <w:r>
        <w:rPr>
          <w:spacing w:val="-10"/>
        </w:rPr>
        <w:t xml:space="preserve"> </w:t>
      </w:r>
      <w:r>
        <w:t>Алексеевна</w:t>
      </w:r>
    </w:p>
    <w:p w:rsidR="001E434E" w:rsidRDefault="00D83D28">
      <w:pPr>
        <w:spacing w:line="318" w:lineRule="exact"/>
        <w:ind w:right="1095"/>
        <w:jc w:val="right"/>
        <w:rPr>
          <w:i/>
          <w:sz w:val="28"/>
        </w:rPr>
      </w:pPr>
      <w:r>
        <w:rPr>
          <w:i/>
          <w:sz w:val="28"/>
        </w:rPr>
        <w:t>студент Забайкальского института железнодорожного</w:t>
      </w:r>
      <w:r>
        <w:rPr>
          <w:i/>
          <w:spacing w:val="-38"/>
          <w:sz w:val="28"/>
        </w:rPr>
        <w:t xml:space="preserve"> </w:t>
      </w:r>
      <w:r>
        <w:rPr>
          <w:i/>
          <w:sz w:val="28"/>
        </w:rPr>
        <w:t>транспорта</w:t>
      </w:r>
    </w:p>
    <w:p w:rsidR="001E434E" w:rsidRDefault="00D83D28">
      <w:pPr>
        <w:ind w:right="1091"/>
        <w:jc w:val="right"/>
        <w:rPr>
          <w:i/>
          <w:sz w:val="28"/>
        </w:rPr>
      </w:pPr>
      <w:r>
        <w:rPr>
          <w:i/>
          <w:sz w:val="28"/>
        </w:rPr>
        <w:t xml:space="preserve">Россия, </w:t>
      </w:r>
      <w:proofErr w:type="gramStart"/>
      <w:r>
        <w:rPr>
          <w:i/>
          <w:sz w:val="28"/>
        </w:rPr>
        <w:t>г</w:t>
      </w:r>
      <w:proofErr w:type="gramEnd"/>
      <w:r>
        <w:rPr>
          <w:i/>
          <w:sz w:val="28"/>
        </w:rPr>
        <w:t>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Чита</w:t>
      </w:r>
    </w:p>
    <w:p w:rsidR="001E434E" w:rsidRDefault="00D83D28">
      <w:pPr>
        <w:pStyle w:val="Heading2"/>
        <w:spacing w:line="319" w:lineRule="exact"/>
        <w:ind w:right="1093"/>
      </w:pPr>
      <w:r>
        <w:t>Малахова Евгения</w:t>
      </w:r>
      <w:r>
        <w:rPr>
          <w:spacing w:val="-14"/>
        </w:rPr>
        <w:t xml:space="preserve"> </w:t>
      </w:r>
      <w:r>
        <w:t>Витальевна</w:t>
      </w:r>
    </w:p>
    <w:p w:rsidR="001E434E" w:rsidRDefault="00D83D28">
      <w:pPr>
        <w:spacing w:line="319" w:lineRule="exact"/>
        <w:ind w:right="1095"/>
        <w:jc w:val="right"/>
        <w:rPr>
          <w:i/>
          <w:sz w:val="28"/>
        </w:rPr>
      </w:pPr>
      <w:proofErr w:type="spellStart"/>
      <w:r>
        <w:rPr>
          <w:i/>
          <w:sz w:val="28"/>
        </w:rPr>
        <w:t>к.э.н</w:t>
      </w:r>
      <w:proofErr w:type="spellEnd"/>
      <w:r>
        <w:rPr>
          <w:i/>
          <w:sz w:val="28"/>
        </w:rPr>
        <w:t>., доцент Забайкальского института железнодорожного</w:t>
      </w:r>
      <w:r>
        <w:rPr>
          <w:i/>
          <w:spacing w:val="-32"/>
          <w:sz w:val="28"/>
        </w:rPr>
        <w:t xml:space="preserve"> </w:t>
      </w:r>
      <w:r>
        <w:rPr>
          <w:i/>
          <w:sz w:val="28"/>
        </w:rPr>
        <w:t>транспорта</w:t>
      </w:r>
    </w:p>
    <w:p w:rsidR="001E434E" w:rsidRDefault="00D83D28">
      <w:pPr>
        <w:ind w:right="1091"/>
        <w:jc w:val="right"/>
        <w:rPr>
          <w:i/>
          <w:sz w:val="28"/>
        </w:rPr>
      </w:pPr>
      <w:r>
        <w:rPr>
          <w:i/>
          <w:sz w:val="28"/>
        </w:rPr>
        <w:t>Россия, г.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Чита</w:t>
      </w:r>
    </w:p>
    <w:p w:rsidR="001E434E" w:rsidRDefault="001E434E">
      <w:pPr>
        <w:pStyle w:val="a3"/>
        <w:spacing w:before="4"/>
        <w:ind w:left="0"/>
        <w:jc w:val="left"/>
        <w:rPr>
          <w:i/>
          <w:sz w:val="42"/>
        </w:rPr>
      </w:pPr>
    </w:p>
    <w:p w:rsidR="001E434E" w:rsidRDefault="00D83D28">
      <w:pPr>
        <w:pStyle w:val="Heading1"/>
      </w:pPr>
      <w:r>
        <w:t>Стимулирующие выплаты работникам бюджетных организаций</w:t>
      </w:r>
    </w:p>
    <w:p w:rsidR="001E434E" w:rsidRDefault="001E434E">
      <w:pPr>
        <w:pStyle w:val="a3"/>
        <w:ind w:left="0"/>
        <w:jc w:val="left"/>
        <w:rPr>
          <w:b/>
          <w:sz w:val="30"/>
        </w:rPr>
      </w:pPr>
    </w:p>
    <w:p w:rsidR="001E434E" w:rsidRDefault="001E434E">
      <w:pPr>
        <w:pStyle w:val="a3"/>
        <w:spacing w:before="8"/>
        <w:ind w:left="0"/>
        <w:jc w:val="left"/>
        <w:rPr>
          <w:b/>
          <w:sz w:val="25"/>
        </w:rPr>
      </w:pPr>
    </w:p>
    <w:p w:rsidR="001E434E" w:rsidRDefault="00D83D28">
      <w:pPr>
        <w:pStyle w:val="a3"/>
        <w:spacing w:line="360" w:lineRule="auto"/>
        <w:ind w:right="1087" w:firstLine="708"/>
      </w:pPr>
      <w:r>
        <w:t>Неотъемлемой частью экономики государства является занятость населения. Главным критерием занятости является числе</w:t>
      </w:r>
      <w:r>
        <w:t>нность трудоспособного населения России.</w:t>
      </w:r>
    </w:p>
    <w:p w:rsidR="001E434E" w:rsidRDefault="001E434E">
      <w:pPr>
        <w:pStyle w:val="a3"/>
        <w:spacing w:line="362" w:lineRule="auto"/>
        <w:ind w:right="1099" w:firstLine="708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64.9pt;margin-top:109.8pt;width:15.3pt;height:93.8pt;z-index:251659264;mso-position-horizontal-relative:page" filled="f" stroked="f">
            <v:textbox style="layout-flow:vertical;mso-layout-flow-alt:bottom-to-top" inset="0,0,0,0">
              <w:txbxContent>
                <w:p w:rsidR="001E434E" w:rsidRDefault="00D83D28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Количество, чел.</w:t>
                  </w:r>
                </w:p>
              </w:txbxContent>
            </v:textbox>
            <w10:wrap anchorx="page"/>
          </v:shape>
        </w:pict>
      </w:r>
      <w:r w:rsidR="00D83D28">
        <w:t>На рисунке 1 представлена динамика численности населения России в период с 2007-2020 гг.</w:t>
      </w:r>
      <w:r w:rsidR="00D83D28">
        <w:rPr>
          <w:vertAlign w:val="superscript"/>
        </w:rPr>
        <w:t>1</w:t>
      </w:r>
    </w:p>
    <w:p w:rsidR="001E434E" w:rsidRDefault="00D83D28">
      <w:pPr>
        <w:pStyle w:val="a3"/>
        <w:ind w:left="673"/>
        <w:jc w:val="left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5394346" cy="283845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4346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34E" w:rsidRDefault="00D83D28">
      <w:pPr>
        <w:pStyle w:val="a3"/>
        <w:spacing w:before="168"/>
        <w:ind w:left="1512"/>
      </w:pPr>
      <w:r>
        <w:t>Рисунок 1 - Динамика численности населения России в период</w:t>
      </w:r>
    </w:p>
    <w:p w:rsidR="001E434E" w:rsidRDefault="00D83D28">
      <w:pPr>
        <w:pStyle w:val="a3"/>
        <w:spacing w:before="160"/>
        <w:ind w:left="4042"/>
      </w:pPr>
      <w:r>
        <w:t>с 2007-2020 гг.</w:t>
      </w:r>
    </w:p>
    <w:p w:rsidR="001E434E" w:rsidRDefault="00D83D28">
      <w:pPr>
        <w:pStyle w:val="a3"/>
        <w:spacing w:before="161" w:line="360" w:lineRule="auto"/>
        <w:ind w:right="1096" w:firstLine="708"/>
      </w:pPr>
      <w:r>
        <w:t>Как видно из представленной диаграммы население, готовое и, что немало важно, способное работать с каждым годом уменьшается. Данная проблема для экономики губительна и требует немедленных</w:t>
      </w:r>
      <w:r>
        <w:rPr>
          <w:spacing w:val="-7"/>
        </w:rPr>
        <w:t xml:space="preserve"> </w:t>
      </w:r>
      <w:r>
        <w:t>решений.</w:t>
      </w:r>
    </w:p>
    <w:p w:rsidR="001E434E" w:rsidRDefault="001E434E">
      <w:pPr>
        <w:pStyle w:val="a3"/>
        <w:ind w:left="0"/>
        <w:jc w:val="left"/>
        <w:rPr>
          <w:sz w:val="20"/>
        </w:rPr>
      </w:pPr>
    </w:p>
    <w:p w:rsidR="001E434E" w:rsidRDefault="001E434E">
      <w:pPr>
        <w:pStyle w:val="a3"/>
        <w:spacing w:before="3"/>
        <w:ind w:left="0"/>
        <w:jc w:val="left"/>
        <w:rPr>
          <w:sz w:val="12"/>
        </w:rPr>
      </w:pPr>
      <w:r w:rsidRPr="001E434E">
        <w:pict>
          <v:line id="_x0000_s1058" style="position:absolute;z-index:-251658240;mso-wrap-distance-left:0;mso-wrap-distance-right:0;mso-position-horizontal-relative:page" from="56.65pt,9.45pt" to="200.7pt,9.45pt" strokeweight=".72pt">
            <w10:wrap type="topAndBottom" anchorx="page"/>
          </v:line>
        </w:pict>
      </w:r>
    </w:p>
    <w:p w:rsidR="001E434E" w:rsidRDefault="00D83D28">
      <w:pPr>
        <w:spacing w:before="42"/>
        <w:ind w:left="112"/>
        <w:rPr>
          <w:sz w:val="20"/>
        </w:rPr>
      </w:pPr>
      <w:r>
        <w:rPr>
          <w:position w:val="9"/>
          <w:sz w:val="13"/>
        </w:rPr>
        <w:t xml:space="preserve">1 </w:t>
      </w:r>
      <w:r>
        <w:rPr>
          <w:sz w:val="20"/>
        </w:rPr>
        <w:t>Официальный сайт Федеральной службы государственной ст</w:t>
      </w:r>
      <w:r>
        <w:rPr>
          <w:sz w:val="20"/>
        </w:rPr>
        <w:t xml:space="preserve">атистики. Режим доступа: </w:t>
      </w:r>
      <w:hyperlink r:id="rId6">
        <w:r>
          <w:rPr>
            <w:sz w:val="20"/>
          </w:rPr>
          <w:t>http://old.gks.ru/</w:t>
        </w:r>
      </w:hyperlink>
    </w:p>
    <w:p w:rsidR="001E434E" w:rsidRDefault="001E434E">
      <w:pPr>
        <w:rPr>
          <w:sz w:val="20"/>
        </w:rPr>
        <w:sectPr w:rsidR="001E434E">
          <w:type w:val="continuous"/>
          <w:pgSz w:w="11910" w:h="16840"/>
          <w:pgMar w:top="1040" w:right="40" w:bottom="280" w:left="1020" w:header="720" w:footer="720" w:gutter="0"/>
          <w:cols w:space="720"/>
        </w:sectPr>
      </w:pPr>
    </w:p>
    <w:p w:rsidR="001E434E" w:rsidRDefault="00D83D28">
      <w:pPr>
        <w:pStyle w:val="a3"/>
        <w:spacing w:before="67" w:line="360" w:lineRule="auto"/>
        <w:ind w:right="1097" w:firstLine="708"/>
      </w:pPr>
      <w:r>
        <w:lastRenderedPageBreak/>
        <w:t>В 2019 году правительство России увеличило возраст трудоспособного населения, увеличив возраст выхода на пенсию, такое решение приведет к увеличению числа работ</w:t>
      </w:r>
      <w:r>
        <w:t>оспособного населения.</w:t>
      </w:r>
    </w:p>
    <w:p w:rsidR="001E434E" w:rsidRDefault="00D83D28">
      <w:pPr>
        <w:pStyle w:val="a3"/>
        <w:spacing w:before="1" w:line="360" w:lineRule="auto"/>
        <w:ind w:right="1090" w:firstLine="708"/>
      </w:pPr>
      <w:r>
        <w:t>На рисунке 2 наглядно показана разница возраста выхода на пенсию в России в 2018-2019 гг.</w:t>
      </w:r>
    </w:p>
    <w:p w:rsidR="001E434E" w:rsidRDefault="001E434E">
      <w:pPr>
        <w:spacing w:before="103"/>
        <w:ind w:left="1273"/>
        <w:rPr>
          <w:b/>
          <w:sz w:val="20"/>
        </w:rPr>
      </w:pPr>
      <w:r w:rsidRPr="001E434E">
        <w:pict>
          <v:group id="_x0000_s1045" style="position:absolute;left:0;text-align:left;margin-left:130.1pt;margin-top:7.65pt;width:297pt;height:195pt;z-index:-251886592;mso-position-horizontal-relative:page" coordorigin="2602,153" coordsize="5940,3900">
            <v:shape id="_x0000_s1057" style="position:absolute;left:2661;top:1640;width:5873;height:1882" coordorigin="2662,1641" coordsize="5873,1882" o:spt="100" adj="0,,0" path="m7906,3522r628,m4970,3522r1258,m2662,3522r628,m2662,3052r628,m4130,2581r2098,m2662,2581r628,m4130,2111r2098,m2662,2111r628,m2662,1641r3566,e" filled="f" strokecolor="#858585" strokeweight=".72pt">
              <v:stroke joinstyle="round"/>
              <v:formulas/>
              <v:path arrowok="t" o:connecttype="segments"/>
            </v:shape>
            <v:rect id="_x0000_s1056" style="position:absolute;left:3290;top:1640;width:840;height:2352" fillcolor="#606060" stroked="f"/>
            <v:shape id="_x0000_s1055" style="position:absolute;left:2661;top:699;width:5873;height:2352" coordorigin="2662,700" coordsize="5873,2352" o:spt="100" adj="0,,0" path="m4970,3052r1258,m7068,1641r1466,m7068,1170r1466,m2662,1170r3566,m7068,700r1466,m2662,700r3566,e" filled="f" strokecolor="#858585" strokeweight=".72pt">
              <v:stroke joinstyle="round"/>
              <v:formulas/>
              <v:path arrowok="t" o:connecttype="segments"/>
            </v:shape>
            <v:rect id="_x0000_s1054" style="position:absolute;left:6228;top:464;width:840;height:3528" fillcolor="#606060" stroked="f"/>
            <v:rect id="_x0000_s1053" style="position:absolute;left:4130;top:2816;width:840;height:1176" fillcolor="#b3b3b3" stroked="f"/>
            <v:shape id="_x0000_s1052" style="position:absolute;left:7905;top:2110;width:629;height:941" coordorigin="7906,2111" coordsize="629,941" o:spt="100" adj="0,,0" path="m7906,3052r628,m7906,2581r628,m7906,2111r628,e" filled="f" strokecolor="#858585" strokeweight=".72pt">
              <v:stroke joinstyle="round"/>
              <v:formulas/>
              <v:path arrowok="t" o:connecttype="segments"/>
            </v:shape>
            <v:rect id="_x0000_s1051" style="position:absolute;left:7068;top:1640;width:838;height:2352" fillcolor="#b3b3b3" stroked="f"/>
            <v:shape id="_x0000_s1050" style="position:absolute;left:2601;top:229;width:5933;height:3824" coordorigin="2602,229" coordsize="5933,3824" o:spt="100" adj="0,,0" path="m2662,229r5872,m2662,3993r,-3764m2602,3993r60,m2602,3522r60,m2602,3052r60,m2602,2581r60,m2602,2111r60,m2602,1641r60,m2602,1170r60,m2602,700r60,m2602,229r60,m2662,3993r5872,m2662,3993r,60m5599,3993r,60m8534,3993r,60e" filled="f" strokecolor="#858585" strokeweight=".72pt">
              <v:stroke joinstyle="round"/>
              <v:formulas/>
              <v:path arrowok="t" o:connecttype="segments"/>
            </v:shape>
            <v:shape id="_x0000_s1049" type="#_x0000_t202" style="position:absolute;left:6549;top:153;width:222;height:221" filled="f" stroked="f">
              <v:textbox inset="0,0,0,0">
                <w:txbxContent>
                  <w:p w:rsidR="001E434E" w:rsidRDefault="00D83D28">
                    <w:pPr>
                      <w:spacing w:line="221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65</w:t>
                    </w:r>
                  </w:p>
                </w:txbxContent>
              </v:textbox>
            </v:shape>
            <v:shape id="_x0000_s1048" type="#_x0000_t202" style="position:absolute;left:7388;top:1330;width:222;height:221" filled="f" stroked="f">
              <v:textbox inset="0,0,0,0">
                <w:txbxContent>
                  <w:p w:rsidR="001E434E" w:rsidRDefault="00D83D28">
                    <w:pPr>
                      <w:spacing w:line="221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60</w:t>
                    </w:r>
                  </w:p>
                </w:txbxContent>
              </v:textbox>
            </v:shape>
            <v:shape id="_x0000_s1047" type="#_x0000_t202" style="position:absolute;left:4130;top:2588;width:2098;height:228" filled="f" stroked="f">
              <v:textbox inset="0,0,0,0">
                <w:txbxContent>
                  <w:p w:rsidR="001E434E" w:rsidRDefault="00D83D28">
                    <w:pPr>
                      <w:spacing w:line="139" w:lineRule="exact"/>
                      <w:ind w:left="3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55</w:t>
                    </w:r>
                  </w:p>
                </w:txbxContent>
              </v:textbox>
            </v:shape>
            <v:shape id="_x0000_s1046" type="#_x0000_t202" style="position:absolute;left:3612;top:1330;width:222;height:221" filled="f" stroked="f">
              <v:textbox inset="0,0,0,0">
                <w:txbxContent>
                  <w:p w:rsidR="001E434E" w:rsidRDefault="00D83D28">
                    <w:pPr>
                      <w:spacing w:line="221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60</w:t>
                    </w:r>
                  </w:p>
                </w:txbxContent>
              </v:textbox>
            </v:shape>
            <w10:wrap anchorx="page"/>
          </v:group>
        </w:pict>
      </w:r>
      <w:r w:rsidR="00D83D28">
        <w:rPr>
          <w:b/>
          <w:sz w:val="20"/>
        </w:rPr>
        <w:t>66</w:t>
      </w:r>
    </w:p>
    <w:p w:rsidR="001E434E" w:rsidRDefault="001E434E">
      <w:pPr>
        <w:pStyle w:val="a3"/>
        <w:spacing w:before="10"/>
        <w:ind w:left="0"/>
        <w:jc w:val="left"/>
        <w:rPr>
          <w:b/>
          <w:sz w:val="20"/>
        </w:rPr>
      </w:pPr>
    </w:p>
    <w:p w:rsidR="001E434E" w:rsidRDefault="00D83D28">
      <w:pPr>
        <w:ind w:left="1273"/>
        <w:rPr>
          <w:b/>
          <w:sz w:val="20"/>
        </w:rPr>
      </w:pPr>
      <w:r>
        <w:rPr>
          <w:b/>
          <w:sz w:val="20"/>
        </w:rPr>
        <w:t>64</w:t>
      </w:r>
    </w:p>
    <w:p w:rsidR="001E434E" w:rsidRDefault="001E434E">
      <w:pPr>
        <w:pStyle w:val="a3"/>
        <w:spacing w:before="1"/>
        <w:ind w:left="0"/>
        <w:jc w:val="left"/>
        <w:rPr>
          <w:b/>
          <w:sz w:val="13"/>
        </w:rPr>
      </w:pPr>
    </w:p>
    <w:p w:rsidR="001E434E" w:rsidRDefault="00D83D28">
      <w:pPr>
        <w:spacing w:before="91"/>
        <w:ind w:left="1273"/>
        <w:rPr>
          <w:b/>
          <w:sz w:val="20"/>
        </w:rPr>
      </w:pPr>
      <w:r>
        <w:rPr>
          <w:b/>
          <w:sz w:val="20"/>
        </w:rPr>
        <w:t>62</w:t>
      </w:r>
    </w:p>
    <w:p w:rsidR="001E434E" w:rsidRDefault="001E434E">
      <w:pPr>
        <w:pStyle w:val="a3"/>
        <w:ind w:left="0"/>
        <w:jc w:val="left"/>
        <w:rPr>
          <w:b/>
          <w:sz w:val="13"/>
        </w:rPr>
      </w:pPr>
    </w:p>
    <w:p w:rsidR="001E434E" w:rsidRDefault="001E434E">
      <w:pPr>
        <w:spacing w:before="91"/>
        <w:ind w:left="1273"/>
        <w:rPr>
          <w:b/>
          <w:sz w:val="20"/>
        </w:rPr>
      </w:pPr>
      <w:r w:rsidRPr="001E434E">
        <w:pict>
          <v:shape id="_x0000_s1044" type="#_x0000_t202" style="position:absolute;left:0;text-align:left;margin-left:99.65pt;margin-top:5.8pt;width:13.05pt;height:57.5pt;z-index:251668480;mso-position-horizontal-relative:page" filled="f" stroked="f">
            <v:textbox style="layout-flow:vertical;mso-layout-flow-alt:bottom-to-top" inset="0,0,0,0">
              <w:txbxContent>
                <w:p w:rsidR="001E434E" w:rsidRDefault="00D83D28">
                  <w:pPr>
                    <w:spacing w:before="10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Возраст, лет</w:t>
                  </w:r>
                </w:p>
              </w:txbxContent>
            </v:textbox>
            <w10:wrap anchorx="page"/>
          </v:shape>
        </w:pict>
      </w:r>
      <w:r w:rsidR="00D83D28">
        <w:rPr>
          <w:b/>
          <w:sz w:val="20"/>
        </w:rPr>
        <w:t>60</w:t>
      </w:r>
    </w:p>
    <w:p w:rsidR="001E434E" w:rsidRDefault="001E434E">
      <w:pPr>
        <w:pStyle w:val="a3"/>
        <w:spacing w:before="10"/>
        <w:ind w:left="0"/>
        <w:jc w:val="left"/>
        <w:rPr>
          <w:b/>
          <w:sz w:val="17"/>
        </w:rPr>
      </w:pPr>
    </w:p>
    <w:p w:rsidR="001E434E" w:rsidRDefault="001E434E">
      <w:pPr>
        <w:tabs>
          <w:tab w:val="left" w:pos="6701"/>
        </w:tabs>
        <w:ind w:right="1936"/>
        <w:jc w:val="right"/>
        <w:rPr>
          <w:b/>
          <w:sz w:val="20"/>
        </w:rPr>
      </w:pPr>
      <w:r w:rsidRPr="001E434E">
        <w:pict>
          <v:rect id="_x0000_s1043" style="position:absolute;left:0;text-align:left;margin-left:442.55pt;margin-top:3.35pt;width:4.9pt;height:4.9pt;z-index:-251885568;mso-position-horizontal-relative:page" fillcolor="#606060" stroked="f">
            <w10:wrap anchorx="page"/>
          </v:rect>
        </w:pict>
      </w:r>
      <w:r w:rsidR="00D83D28">
        <w:rPr>
          <w:b/>
          <w:position w:val="-3"/>
          <w:sz w:val="20"/>
        </w:rPr>
        <w:t>58</w:t>
      </w:r>
      <w:r w:rsidR="00D83D28">
        <w:rPr>
          <w:b/>
          <w:position w:val="-3"/>
          <w:sz w:val="20"/>
        </w:rPr>
        <w:tab/>
      </w:r>
      <w:r w:rsidR="00D83D28">
        <w:rPr>
          <w:b/>
          <w:spacing w:val="-1"/>
          <w:sz w:val="20"/>
        </w:rPr>
        <w:t>Мужчины</w:t>
      </w:r>
    </w:p>
    <w:p w:rsidR="001E434E" w:rsidRDefault="001E434E">
      <w:pPr>
        <w:spacing w:before="69" w:line="198" w:lineRule="exact"/>
        <w:ind w:right="1915"/>
        <w:jc w:val="right"/>
        <w:rPr>
          <w:b/>
          <w:sz w:val="20"/>
        </w:rPr>
      </w:pPr>
      <w:r w:rsidRPr="001E434E">
        <w:pict>
          <v:rect id="_x0000_s1042" style="position:absolute;left:0;text-align:left;margin-left:442.55pt;margin-top:6.75pt;width:4.9pt;height:5.05pt;z-index:251667456;mso-position-horizontal-relative:page" fillcolor="#b3b3b3" stroked="f">
            <w10:wrap anchorx="page"/>
          </v:rect>
        </w:pict>
      </w:r>
      <w:r w:rsidR="00D83D28">
        <w:rPr>
          <w:b/>
          <w:spacing w:val="-1"/>
          <w:sz w:val="20"/>
        </w:rPr>
        <w:t>Женщины</w:t>
      </w:r>
    </w:p>
    <w:p w:rsidR="001E434E" w:rsidRDefault="00D83D28">
      <w:pPr>
        <w:spacing w:line="198" w:lineRule="exact"/>
        <w:ind w:left="1273"/>
        <w:rPr>
          <w:b/>
          <w:sz w:val="20"/>
        </w:rPr>
      </w:pPr>
      <w:r>
        <w:rPr>
          <w:b/>
          <w:sz w:val="20"/>
        </w:rPr>
        <w:t>56</w:t>
      </w:r>
    </w:p>
    <w:p w:rsidR="001E434E" w:rsidRDefault="001E434E">
      <w:pPr>
        <w:pStyle w:val="a3"/>
        <w:spacing w:before="10"/>
        <w:ind w:left="0"/>
        <w:jc w:val="left"/>
        <w:rPr>
          <w:b/>
          <w:sz w:val="20"/>
        </w:rPr>
      </w:pPr>
    </w:p>
    <w:p w:rsidR="001E434E" w:rsidRDefault="00D83D28">
      <w:pPr>
        <w:spacing w:before="1"/>
        <w:ind w:left="1273"/>
        <w:rPr>
          <w:b/>
          <w:sz w:val="20"/>
        </w:rPr>
      </w:pPr>
      <w:r>
        <w:rPr>
          <w:b/>
          <w:sz w:val="20"/>
        </w:rPr>
        <w:t>54</w:t>
      </w:r>
    </w:p>
    <w:p w:rsidR="001E434E" w:rsidRDefault="001E434E">
      <w:pPr>
        <w:pStyle w:val="a3"/>
        <w:ind w:left="0"/>
        <w:jc w:val="left"/>
        <w:rPr>
          <w:b/>
          <w:sz w:val="13"/>
        </w:rPr>
      </w:pPr>
    </w:p>
    <w:p w:rsidR="001E434E" w:rsidRDefault="00D83D28">
      <w:pPr>
        <w:spacing w:before="91"/>
        <w:ind w:left="1273"/>
        <w:rPr>
          <w:b/>
          <w:sz w:val="20"/>
        </w:rPr>
      </w:pPr>
      <w:r>
        <w:rPr>
          <w:b/>
          <w:sz w:val="20"/>
        </w:rPr>
        <w:t>52</w:t>
      </w:r>
    </w:p>
    <w:p w:rsidR="001E434E" w:rsidRDefault="001E434E">
      <w:pPr>
        <w:pStyle w:val="a3"/>
        <w:ind w:left="0"/>
        <w:jc w:val="left"/>
        <w:rPr>
          <w:b/>
          <w:sz w:val="13"/>
        </w:rPr>
      </w:pPr>
    </w:p>
    <w:p w:rsidR="001E434E" w:rsidRDefault="001E434E">
      <w:pPr>
        <w:rPr>
          <w:sz w:val="13"/>
        </w:rPr>
        <w:sectPr w:rsidR="001E434E">
          <w:pgSz w:w="11910" w:h="16840"/>
          <w:pgMar w:top="1040" w:right="40" w:bottom="280" w:left="1020" w:header="720" w:footer="720" w:gutter="0"/>
          <w:cols w:space="720"/>
        </w:sectPr>
      </w:pPr>
    </w:p>
    <w:p w:rsidR="001E434E" w:rsidRDefault="00D83D28">
      <w:pPr>
        <w:spacing w:before="91"/>
        <w:ind w:left="1255" w:right="1857"/>
        <w:jc w:val="center"/>
        <w:rPr>
          <w:b/>
          <w:sz w:val="20"/>
        </w:rPr>
      </w:pPr>
      <w:r>
        <w:rPr>
          <w:b/>
          <w:sz w:val="20"/>
        </w:rPr>
        <w:lastRenderedPageBreak/>
        <w:t>50</w:t>
      </w:r>
    </w:p>
    <w:p w:rsidR="001E434E" w:rsidRDefault="00D83D28">
      <w:pPr>
        <w:spacing w:before="5"/>
        <w:ind w:left="2892" w:right="20"/>
        <w:jc w:val="center"/>
        <w:rPr>
          <w:b/>
          <w:sz w:val="20"/>
        </w:rPr>
      </w:pPr>
      <w:r>
        <w:rPr>
          <w:b/>
          <w:sz w:val="20"/>
        </w:rPr>
        <w:t>2018</w:t>
      </w:r>
    </w:p>
    <w:p w:rsidR="001E434E" w:rsidRDefault="00D83D28">
      <w:pPr>
        <w:pStyle w:val="a3"/>
        <w:spacing w:before="4"/>
        <w:ind w:left="0"/>
        <w:jc w:val="left"/>
        <w:rPr>
          <w:b/>
        </w:rPr>
      </w:pPr>
      <w:r>
        <w:br w:type="column"/>
      </w:r>
    </w:p>
    <w:p w:rsidR="001E434E" w:rsidRDefault="00D83D28">
      <w:pPr>
        <w:ind w:left="1273"/>
        <w:rPr>
          <w:b/>
          <w:sz w:val="20"/>
        </w:rPr>
      </w:pPr>
      <w:r>
        <w:rPr>
          <w:b/>
          <w:sz w:val="20"/>
        </w:rPr>
        <w:t>2019</w:t>
      </w:r>
    </w:p>
    <w:p w:rsidR="001E434E" w:rsidRDefault="001E434E">
      <w:pPr>
        <w:rPr>
          <w:sz w:val="20"/>
        </w:rPr>
        <w:sectPr w:rsidR="001E434E">
          <w:type w:val="continuous"/>
          <w:pgSz w:w="11910" w:h="16840"/>
          <w:pgMar w:top="1040" w:right="40" w:bottom="280" w:left="1020" w:header="720" w:footer="720" w:gutter="0"/>
          <w:cols w:num="2" w:space="720" w:equalWidth="0">
            <w:col w:w="3352" w:space="1224"/>
            <w:col w:w="6274"/>
          </w:cols>
        </w:sectPr>
      </w:pPr>
    </w:p>
    <w:p w:rsidR="001E434E" w:rsidRDefault="001E434E">
      <w:pPr>
        <w:pStyle w:val="a3"/>
        <w:ind w:left="0"/>
        <w:jc w:val="left"/>
        <w:rPr>
          <w:b/>
          <w:sz w:val="17"/>
        </w:rPr>
      </w:pPr>
    </w:p>
    <w:p w:rsidR="001E434E" w:rsidRDefault="00D83D28">
      <w:pPr>
        <w:pStyle w:val="a3"/>
        <w:spacing w:before="89"/>
        <w:ind w:left="1817"/>
      </w:pPr>
      <w:r>
        <w:t>Рисунок 2 - Разница возраста выхода на пенсию в России</w:t>
      </w:r>
    </w:p>
    <w:p w:rsidR="001E434E" w:rsidRDefault="00D83D28">
      <w:pPr>
        <w:pStyle w:val="a3"/>
        <w:spacing w:before="161"/>
        <w:ind w:left="4040"/>
      </w:pPr>
      <w:r>
        <w:t>в 2018-2019 гг.</w:t>
      </w:r>
    </w:p>
    <w:p w:rsidR="001E434E" w:rsidRDefault="00D83D28">
      <w:pPr>
        <w:pStyle w:val="a3"/>
        <w:spacing w:before="160" w:line="360" w:lineRule="auto"/>
        <w:ind w:right="1096" w:firstLine="708"/>
      </w:pPr>
      <w:r>
        <w:t>Работающее население должно получать заработную плату, превышающую количество расходов, необходимое для индивидуальной жизни. В случае если работнику не будет выплачена соответствующая заработная плата, то и результаты труда будут в геометрической прогресс</w:t>
      </w:r>
      <w:r>
        <w:t>ии ухудшаться.</w:t>
      </w:r>
    </w:p>
    <w:p w:rsidR="001E434E" w:rsidRDefault="00D83D28">
      <w:pPr>
        <w:pStyle w:val="a3"/>
        <w:spacing w:before="1" w:line="360" w:lineRule="auto"/>
        <w:ind w:right="1090" w:firstLine="708"/>
      </w:pPr>
      <w:r>
        <w:t>Система оплаты труда в бюджетной сфере Росс</w:t>
      </w:r>
      <w:r w:rsidR="004C0CFF">
        <w:t>и</w:t>
      </w:r>
      <w:r>
        <w:t>йской Федерации построена так, что четко определенная часть заработной платы – должностной оклад не позволяет работнику компенсировать затраченные ресурсы, а чтобы устранить этот недостаток вводятс</w:t>
      </w:r>
      <w:r>
        <w:t>я различные доплаты.</w:t>
      </w:r>
      <w:r>
        <w:rPr>
          <w:vertAlign w:val="superscript"/>
        </w:rPr>
        <w:t>2</w:t>
      </w:r>
    </w:p>
    <w:p w:rsidR="001E434E" w:rsidRDefault="00D83D28">
      <w:pPr>
        <w:pStyle w:val="a3"/>
        <w:spacing w:line="360" w:lineRule="auto"/>
        <w:ind w:right="1093" w:firstLine="708"/>
      </w:pPr>
      <w:r>
        <w:t>Доля работников бюджетных организаций в общей численности работающего населения России составляет более 30% [5]. Это работники госучреждений и госкорпораций. Учитывая численность работников</w:t>
      </w:r>
    </w:p>
    <w:p w:rsidR="001E434E" w:rsidRDefault="001E434E">
      <w:pPr>
        <w:pStyle w:val="a3"/>
        <w:ind w:left="0"/>
        <w:jc w:val="left"/>
        <w:rPr>
          <w:sz w:val="20"/>
        </w:rPr>
      </w:pPr>
    </w:p>
    <w:p w:rsidR="001E434E" w:rsidRDefault="001E434E">
      <w:pPr>
        <w:pStyle w:val="a3"/>
        <w:spacing w:before="8"/>
        <w:ind w:left="0"/>
        <w:jc w:val="left"/>
        <w:rPr>
          <w:sz w:val="16"/>
        </w:rPr>
      </w:pPr>
      <w:r w:rsidRPr="001E434E">
        <w:pict>
          <v:line id="_x0000_s1041" style="position:absolute;z-index:-251656192;mso-wrap-distance-left:0;mso-wrap-distance-right:0;mso-position-horizontal-relative:page" from="56.65pt,11.95pt" to="200.7pt,11.95pt" strokeweight=".72pt">
            <w10:wrap type="topAndBottom" anchorx="page"/>
          </v:line>
        </w:pict>
      </w:r>
    </w:p>
    <w:p w:rsidR="001E434E" w:rsidRDefault="00D83D28">
      <w:pPr>
        <w:spacing w:before="42"/>
        <w:ind w:left="112" w:right="1096"/>
        <w:jc w:val="both"/>
        <w:rPr>
          <w:sz w:val="20"/>
        </w:rPr>
      </w:pPr>
      <w:r>
        <w:rPr>
          <w:position w:val="9"/>
          <w:sz w:val="13"/>
        </w:rPr>
        <w:t xml:space="preserve">2 </w:t>
      </w:r>
      <w:proofErr w:type="spellStart"/>
      <w:r>
        <w:rPr>
          <w:sz w:val="20"/>
        </w:rPr>
        <w:t>Манохина</w:t>
      </w:r>
      <w:proofErr w:type="spellEnd"/>
      <w:r>
        <w:rPr>
          <w:sz w:val="20"/>
        </w:rPr>
        <w:t xml:space="preserve"> А.Р. Проблемы заработной платы</w:t>
      </w:r>
      <w:r>
        <w:rPr>
          <w:sz w:val="20"/>
        </w:rPr>
        <w:t xml:space="preserve"> в бюджетном учреждении // Современные научные исследования и инновации. 2017. № 6 [Электронный ресурс]. URL: </w:t>
      </w:r>
      <w:hyperlink r:id="rId7">
        <w:r>
          <w:rPr>
            <w:sz w:val="20"/>
          </w:rPr>
          <w:t xml:space="preserve">http://web.snauka.ru/issues/2017/06/83517 </w:t>
        </w:r>
      </w:hyperlink>
      <w:r>
        <w:rPr>
          <w:sz w:val="20"/>
        </w:rPr>
        <w:t>(дата обращения: 01.02.2020).</w:t>
      </w:r>
    </w:p>
    <w:p w:rsidR="001E434E" w:rsidRDefault="001E434E">
      <w:pPr>
        <w:jc w:val="both"/>
        <w:rPr>
          <w:sz w:val="20"/>
        </w:rPr>
        <w:sectPr w:rsidR="001E434E">
          <w:type w:val="continuous"/>
          <w:pgSz w:w="11910" w:h="16840"/>
          <w:pgMar w:top="1040" w:right="40" w:bottom="280" w:left="1020" w:header="720" w:footer="720" w:gutter="0"/>
          <w:cols w:space="720"/>
        </w:sectPr>
      </w:pPr>
    </w:p>
    <w:p w:rsidR="001E434E" w:rsidRDefault="00D83D28">
      <w:pPr>
        <w:pStyle w:val="a3"/>
        <w:spacing w:before="67" w:line="360" w:lineRule="auto"/>
        <w:ind w:right="1092"/>
      </w:pPr>
      <w:r>
        <w:lastRenderedPageBreak/>
        <w:t>бюджетной сферы, довольно серьезной проблемой выступает проблема оплаты труда. Заработная плата работников бюджетной сферы состоит из оклада, а также выплат – компенсационной и стимулирующей. Помимо  этого работникам могут быть выплачены премии. Должностн</w:t>
      </w:r>
      <w:r>
        <w:t>ой оклад и компенсационные выплаты строго регламентированы нормами права. Стимулирующая надбавка и премия – зависят от усмотрения руководителя, и их размер не ограничен законодательством. Это вызывает проблему справедливости начисления этих элементов оплат</w:t>
      </w:r>
      <w:r>
        <w:t>ы труда, а также проблему коррупционных проявлений.</w:t>
      </w:r>
    </w:p>
    <w:p w:rsidR="001E434E" w:rsidRDefault="00D83D28">
      <w:pPr>
        <w:pStyle w:val="a3"/>
        <w:spacing w:before="3" w:line="360" w:lineRule="auto"/>
        <w:ind w:right="1092" w:firstLine="708"/>
      </w:pPr>
      <w:r>
        <w:t xml:space="preserve">Целью данного исследования выступает изучение стимулирующих выплат работникам бюджетных организаций, изучение подходов к тиражированию опыта применения стимулирующих выплат при оплате труда работников на </w:t>
      </w:r>
      <w:r>
        <w:t>все профессии бюджетной</w:t>
      </w:r>
      <w:r>
        <w:rPr>
          <w:spacing w:val="-6"/>
        </w:rPr>
        <w:t xml:space="preserve"> </w:t>
      </w:r>
      <w:r>
        <w:t>сферы.</w:t>
      </w:r>
    </w:p>
    <w:p w:rsidR="001E434E" w:rsidRDefault="00D83D28">
      <w:pPr>
        <w:pStyle w:val="a3"/>
        <w:spacing w:line="360" w:lineRule="auto"/>
        <w:ind w:right="1090" w:firstLine="708"/>
      </w:pPr>
      <w:r>
        <w:t>Выплата стимулирующей надбавки предусмотрена с целью повышения мотивации высокоэффективного труда, трудовой и творческой активности сотрудников. В ст. 129 Трудового кодекса Российской Федерации (ТК РФ) в качестве стимулирующи</w:t>
      </w:r>
      <w:r>
        <w:t>х выплат называются доплаты и надбавки стимулирующего характера. Однако их понятие, также как характер таких выплат, особенности их начисления в законе не раскрываются. Нет и научно обоснованной классификации стимулирующих выплат. Кроме того, в главе 21 Тр</w:t>
      </w:r>
      <w:r>
        <w:t xml:space="preserve">удового кодекса Российской Федерации нет ни одной статьи, посвященной указанным выплатам. В части 1 статьи 144 ТК РФ закреплено положение о системах стимулирующих доплат и о праве работодателя (а не обязанности) устанавливать стимулирующие выплаты. Исходя </w:t>
      </w:r>
      <w:r>
        <w:t xml:space="preserve">из </w:t>
      </w:r>
      <w:proofErr w:type="gramStart"/>
      <w:r>
        <w:t>изложенного</w:t>
      </w:r>
      <w:proofErr w:type="gramEnd"/>
      <w:r>
        <w:t>, можно сказать, что стимулирующие надбавки не урегулированы должным образом в законе. В соответствии с ТК РФ (статья 41, статья 45, статья 57) они должны определяться коллективным договором, соглашением, локальными нормативно-правовыми актам</w:t>
      </w:r>
      <w:r>
        <w:t>и предприятия и трудовым договором. Обычно, во всех этих документах порядок и сумма стимулирующих выплат не расписывается подробно [5]. Следовательно, можно сделать вывод,</w:t>
      </w:r>
      <w:r>
        <w:rPr>
          <w:spacing w:val="61"/>
        </w:rPr>
        <w:t xml:space="preserve"> </w:t>
      </w:r>
      <w:r>
        <w:t>что</w:t>
      </w:r>
    </w:p>
    <w:p w:rsidR="001E434E" w:rsidRDefault="001E434E">
      <w:pPr>
        <w:spacing w:line="360" w:lineRule="auto"/>
        <w:sectPr w:rsidR="001E434E">
          <w:pgSz w:w="11910" w:h="16840"/>
          <w:pgMar w:top="1040" w:right="40" w:bottom="280" w:left="1020" w:header="720" w:footer="720" w:gutter="0"/>
          <w:cols w:space="720"/>
        </w:sectPr>
      </w:pPr>
    </w:p>
    <w:p w:rsidR="001E434E" w:rsidRDefault="00D83D28">
      <w:pPr>
        <w:pStyle w:val="a3"/>
        <w:spacing w:before="67" w:line="362" w:lineRule="auto"/>
        <w:jc w:val="left"/>
      </w:pPr>
      <w:r>
        <w:lastRenderedPageBreak/>
        <w:t>решение о начислении таких выплат принимает единолично руководитель, руководствуясь субъективным мнением.</w:t>
      </w:r>
    </w:p>
    <w:p w:rsidR="001E434E" w:rsidRDefault="00D83D28">
      <w:pPr>
        <w:pStyle w:val="a3"/>
        <w:spacing w:line="317" w:lineRule="exact"/>
        <w:ind w:left="821"/>
        <w:jc w:val="left"/>
      </w:pPr>
      <w:proofErr w:type="gramStart"/>
      <w:r>
        <w:t>Приказом</w:t>
      </w:r>
      <w:r>
        <w:rPr>
          <w:spacing w:val="45"/>
        </w:rPr>
        <w:t xml:space="preserve"> </w:t>
      </w:r>
      <w:r>
        <w:t>Минздравсоцразвития</w:t>
      </w:r>
      <w:r>
        <w:rPr>
          <w:spacing w:val="46"/>
        </w:rPr>
        <w:t xml:space="preserve"> </w:t>
      </w:r>
      <w:r>
        <w:t>РФ</w:t>
      </w:r>
      <w:r>
        <w:rPr>
          <w:spacing w:val="45"/>
        </w:rPr>
        <w:t xml:space="preserve"> </w:t>
      </w:r>
      <w:r>
        <w:t>№818</w:t>
      </w:r>
      <w:r>
        <w:rPr>
          <w:spacing w:val="46"/>
        </w:rPr>
        <w:t xml:space="preserve"> </w:t>
      </w:r>
      <w:r>
        <w:t>от</w:t>
      </w:r>
      <w:r>
        <w:rPr>
          <w:spacing w:val="45"/>
        </w:rPr>
        <w:t xml:space="preserve"> </w:t>
      </w:r>
      <w:r>
        <w:t>29.12.2007</w:t>
      </w:r>
      <w:r>
        <w:rPr>
          <w:spacing w:val="45"/>
        </w:rPr>
        <w:t xml:space="preserve"> </w:t>
      </w:r>
      <w:r>
        <w:t>г.</w:t>
      </w:r>
      <w:r>
        <w:rPr>
          <w:spacing w:val="44"/>
        </w:rPr>
        <w:t xml:space="preserve"> </w:t>
      </w:r>
      <w:r>
        <w:t>(в</w:t>
      </w:r>
      <w:r>
        <w:rPr>
          <w:spacing w:val="45"/>
        </w:rPr>
        <w:t xml:space="preserve"> </w:t>
      </w:r>
      <w:r>
        <w:t>редакции</w:t>
      </w:r>
      <w:proofErr w:type="gramEnd"/>
    </w:p>
    <w:p w:rsidR="001E434E" w:rsidRDefault="00D83D28">
      <w:pPr>
        <w:pStyle w:val="a3"/>
        <w:spacing w:before="161" w:line="360" w:lineRule="auto"/>
        <w:jc w:val="left"/>
      </w:pPr>
      <w:proofErr w:type="gramStart"/>
      <w:r>
        <w:t>№810н от 17.09.2010 г.) утвержден перечень видов стимулирующих выплат в федеральных бюджетных организациях.</w:t>
      </w:r>
      <w:proofErr w:type="gramEnd"/>
      <w:r>
        <w:t xml:space="preserve"> В стимулирующие выплаты</w:t>
      </w:r>
      <w:r>
        <w:rPr>
          <w:spacing w:val="-22"/>
        </w:rPr>
        <w:t xml:space="preserve"> </w:t>
      </w:r>
      <w:r>
        <w:t>включают:</w:t>
      </w:r>
    </w:p>
    <w:p w:rsidR="001E434E" w:rsidRDefault="00D83D28">
      <w:pPr>
        <w:pStyle w:val="a4"/>
        <w:numPr>
          <w:ilvl w:val="0"/>
          <w:numId w:val="2"/>
        </w:numPr>
        <w:tabs>
          <w:tab w:val="left" w:pos="985"/>
        </w:tabs>
        <w:spacing w:before="1"/>
        <w:ind w:left="984"/>
        <w:jc w:val="left"/>
        <w:rPr>
          <w:sz w:val="28"/>
        </w:rPr>
      </w:pPr>
      <w:r>
        <w:rPr>
          <w:sz w:val="28"/>
        </w:rPr>
        <w:t>премиальные по итогам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работы;</w:t>
      </w:r>
    </w:p>
    <w:p w:rsidR="001E434E" w:rsidRDefault="00D83D28">
      <w:pPr>
        <w:pStyle w:val="a4"/>
        <w:numPr>
          <w:ilvl w:val="0"/>
          <w:numId w:val="2"/>
        </w:numPr>
        <w:tabs>
          <w:tab w:val="left" w:pos="985"/>
        </w:tabs>
        <w:spacing w:before="160"/>
        <w:ind w:left="984"/>
        <w:jc w:val="left"/>
        <w:rPr>
          <w:sz w:val="28"/>
        </w:rPr>
      </w:pPr>
      <w:r>
        <w:rPr>
          <w:sz w:val="28"/>
        </w:rPr>
        <w:t>за выслугу лет, стаж непрерывной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работы;</w:t>
      </w:r>
    </w:p>
    <w:p w:rsidR="001E434E" w:rsidRDefault="00D83D28">
      <w:pPr>
        <w:pStyle w:val="a4"/>
        <w:numPr>
          <w:ilvl w:val="0"/>
          <w:numId w:val="2"/>
        </w:numPr>
        <w:tabs>
          <w:tab w:val="left" w:pos="985"/>
        </w:tabs>
        <w:spacing w:before="161"/>
        <w:ind w:left="984"/>
        <w:rPr>
          <w:sz w:val="28"/>
        </w:rPr>
      </w:pPr>
      <w:r>
        <w:rPr>
          <w:sz w:val="28"/>
        </w:rPr>
        <w:t>за качество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работы;</w:t>
      </w:r>
    </w:p>
    <w:p w:rsidR="001E434E" w:rsidRDefault="00D83D28">
      <w:pPr>
        <w:pStyle w:val="a4"/>
        <w:numPr>
          <w:ilvl w:val="0"/>
          <w:numId w:val="2"/>
        </w:numPr>
        <w:tabs>
          <w:tab w:val="left" w:pos="985"/>
        </w:tabs>
        <w:spacing w:before="161"/>
        <w:ind w:left="984"/>
        <w:rPr>
          <w:sz w:val="28"/>
        </w:rPr>
      </w:pPr>
      <w:r>
        <w:rPr>
          <w:sz w:val="28"/>
        </w:rPr>
        <w:t>за высокие результаты и</w:t>
      </w:r>
      <w:r>
        <w:rPr>
          <w:sz w:val="28"/>
        </w:rPr>
        <w:t xml:space="preserve"> интенсивность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работы.</w:t>
      </w:r>
    </w:p>
    <w:p w:rsidR="001E434E" w:rsidRDefault="00D83D28">
      <w:pPr>
        <w:pStyle w:val="a3"/>
        <w:spacing w:before="163" w:line="360" w:lineRule="auto"/>
        <w:ind w:right="1090" w:firstLine="708"/>
      </w:pPr>
      <w:r>
        <w:t>Следует отметить, что многие авторы научных исследований, изучая особенности оплаты труда работников бюджетной сферы, сходятся в том, что стимулирующие добавки при существующей системе оплаты труда таких работников – необходимы, поск</w:t>
      </w:r>
      <w:r>
        <w:t>ольку они позволяют установить достойную оплату труда, привязать оплату труда (ее уровень) к трудовому вкладу каждого работника[1]. В то же время, единодушны авторы исследований и в том, что эффективного метода начисления стимулирующих доплат не выработано</w:t>
      </w:r>
      <w:r>
        <w:t>, и это может привести к несправедливому распределению оплаты труда среди сотрудников учреждений бюджетной сферы.</w:t>
      </w:r>
    </w:p>
    <w:p w:rsidR="001E434E" w:rsidRDefault="00D83D28">
      <w:pPr>
        <w:pStyle w:val="a3"/>
        <w:spacing w:line="360" w:lineRule="auto"/>
        <w:ind w:right="1090" w:firstLine="708"/>
      </w:pPr>
      <w:r>
        <w:t>В данном ракурсе, как справедливо отмечает П.А. Евдокимов, стимулирующие выплаты приобретают тесную связь с оценкой персонала [3]. При этом сл</w:t>
      </w:r>
      <w:r>
        <w:t>едует использовать такие показатели, которые будут одновременно соответствовать следующим</w:t>
      </w:r>
      <w:r>
        <w:rPr>
          <w:spacing w:val="-2"/>
        </w:rPr>
        <w:t xml:space="preserve"> </w:t>
      </w:r>
      <w:r>
        <w:t>условиям:</w:t>
      </w:r>
    </w:p>
    <w:p w:rsidR="001E434E" w:rsidRDefault="00D83D28">
      <w:pPr>
        <w:pStyle w:val="a4"/>
        <w:numPr>
          <w:ilvl w:val="0"/>
          <w:numId w:val="2"/>
        </w:numPr>
        <w:tabs>
          <w:tab w:val="left" w:pos="1177"/>
        </w:tabs>
        <w:spacing w:line="360" w:lineRule="auto"/>
        <w:ind w:right="1093" w:firstLine="708"/>
        <w:rPr>
          <w:sz w:val="28"/>
        </w:rPr>
      </w:pPr>
      <w:r>
        <w:rPr>
          <w:sz w:val="28"/>
        </w:rPr>
        <w:t>позволят представлять руководству учреждения информацию в компактном и удобном для обработки и анализа</w:t>
      </w:r>
      <w:r>
        <w:rPr>
          <w:spacing w:val="-9"/>
          <w:sz w:val="28"/>
        </w:rPr>
        <w:t xml:space="preserve"> </w:t>
      </w:r>
      <w:r>
        <w:rPr>
          <w:sz w:val="28"/>
        </w:rPr>
        <w:t>виде;</w:t>
      </w:r>
    </w:p>
    <w:p w:rsidR="001E434E" w:rsidRDefault="00D83D28">
      <w:pPr>
        <w:pStyle w:val="a4"/>
        <w:numPr>
          <w:ilvl w:val="0"/>
          <w:numId w:val="2"/>
        </w:numPr>
        <w:tabs>
          <w:tab w:val="left" w:pos="1002"/>
        </w:tabs>
        <w:spacing w:line="360" w:lineRule="auto"/>
        <w:ind w:right="1088" w:firstLine="708"/>
        <w:rPr>
          <w:sz w:val="28"/>
        </w:rPr>
      </w:pPr>
      <w:r>
        <w:rPr>
          <w:sz w:val="28"/>
        </w:rPr>
        <w:t>позволят охватывать все сферы деятельности конкретного сотрудника с возможностью измерить его индивидуальный вклад в достижение целей бюджетного учреждения.</w:t>
      </w:r>
    </w:p>
    <w:p w:rsidR="001E434E" w:rsidRDefault="00D83D28">
      <w:pPr>
        <w:pStyle w:val="a3"/>
        <w:spacing w:line="360" w:lineRule="auto"/>
        <w:ind w:right="1092" w:firstLine="708"/>
      </w:pPr>
      <w:r>
        <w:t>Согласно Указа Президента Российской Федерации № 597 [7], предусматривающем поэтапное совершенствов</w:t>
      </w:r>
      <w:r>
        <w:t>ание системы оплаты труда работников бюджетного сектора экономики. Указано, что повышение оплаты</w:t>
      </w:r>
    </w:p>
    <w:p w:rsidR="001E434E" w:rsidRDefault="001E434E">
      <w:pPr>
        <w:spacing w:line="360" w:lineRule="auto"/>
        <w:sectPr w:rsidR="001E434E">
          <w:pgSz w:w="11910" w:h="16840"/>
          <w:pgMar w:top="1040" w:right="40" w:bottom="280" w:left="1020" w:header="720" w:footer="720" w:gutter="0"/>
          <w:cols w:space="720"/>
        </w:sectPr>
      </w:pPr>
    </w:p>
    <w:p w:rsidR="001E434E" w:rsidRDefault="00D83D28">
      <w:pPr>
        <w:pStyle w:val="a3"/>
        <w:spacing w:before="67" w:line="362" w:lineRule="auto"/>
        <w:ind w:right="1099"/>
      </w:pPr>
      <w:r>
        <w:lastRenderedPageBreak/>
        <w:t>должно быть обусловлено достижением конкретных показателей качества и количества оказываемых услуг.</w:t>
      </w:r>
    </w:p>
    <w:p w:rsidR="001E434E" w:rsidRDefault="00D83D28">
      <w:pPr>
        <w:pStyle w:val="a3"/>
        <w:spacing w:line="360" w:lineRule="auto"/>
        <w:ind w:right="1092" w:firstLine="708"/>
      </w:pPr>
      <w:r>
        <w:t>Эффективный контракт – это трудовой договор с</w:t>
      </w:r>
      <w:r>
        <w:t xml:space="preserve"> работником, в котором конкретизированы его должностные обязанности, условия оплаты труда,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</w:t>
      </w:r>
      <w:r>
        <w:t xml:space="preserve"> (муниципальных) услуг, а также меры социальной поддержки.</w:t>
      </w:r>
      <w:r>
        <w:rPr>
          <w:vertAlign w:val="superscript"/>
        </w:rPr>
        <w:t>3</w:t>
      </w:r>
    </w:p>
    <w:p w:rsidR="001E434E" w:rsidRDefault="00D83D28">
      <w:pPr>
        <w:pStyle w:val="a3"/>
        <w:spacing w:line="360" w:lineRule="auto"/>
        <w:ind w:right="1098" w:firstLine="708"/>
      </w:pPr>
      <w:r>
        <w:t>Для заключения эффективного контракта работодателю необходимо определиться с лицами, подлежащими заключению данного трудового договора.</w:t>
      </w:r>
    </w:p>
    <w:p w:rsidR="001E434E" w:rsidRDefault="001E434E">
      <w:pPr>
        <w:pStyle w:val="a3"/>
        <w:spacing w:line="360" w:lineRule="auto"/>
        <w:ind w:right="1090" w:firstLine="708"/>
      </w:pPr>
      <w:r>
        <w:pict>
          <v:shape id="_x0000_s1040" type="#_x0000_t202" style="position:absolute;left:0;text-align:left;margin-left:58.65pt;margin-top:78pt;width:108.55pt;height:37.4pt;z-index:-251646976;mso-wrap-distance-left:0;mso-wrap-distance-right:0;mso-position-horizontal-relative:page" filled="f">
            <v:textbox inset="0,0,0,0">
              <w:txbxContent>
                <w:p w:rsidR="001E434E" w:rsidRDefault="00D83D28">
                  <w:pPr>
                    <w:spacing w:before="66"/>
                    <w:ind w:left="466" w:right="325" w:hanging="120"/>
                    <w:rPr>
                      <w:sz w:val="24"/>
                    </w:rPr>
                  </w:pPr>
                  <w:r>
                    <w:rPr>
                      <w:sz w:val="24"/>
                    </w:rPr>
                    <w:t>Заключается с работником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39" style="position:absolute;left:0;text-align:left;margin-left:172.65pt;margin-top:86.7pt;width:25.2pt;height:18.6pt;z-index:-251645952;mso-wrap-distance-left:0;mso-wrap-distance-right:0;mso-position-horizontal-relative:page" coordorigin="3453,1734" coordsize="504,372" path="m3831,1734r,93l3453,1827r,186l3831,2013r,93l3957,1920,3831,1734xe" filled="f">
            <v:path arrowok="t"/>
            <w10:wrap type="topAndBottom" anchorx="page"/>
          </v:shape>
        </w:pict>
      </w:r>
      <w:r>
        <w:pict>
          <v:shape id="_x0000_s1038" type="#_x0000_t202" style="position:absolute;left:0;text-align:left;margin-left:205.05pt;margin-top:77.7pt;width:319.2pt;height:37.2pt;z-index:-251644928;mso-wrap-distance-left:0;mso-wrap-distance-right:0;mso-position-horizontal-relative:page" filled="f">
            <v:textbox inset="0,0,0,0">
              <w:txbxContent>
                <w:p w:rsidR="001E434E" w:rsidRDefault="00D83D28">
                  <w:pPr>
                    <w:spacing w:before="68" w:line="276" w:lineRule="auto"/>
                    <w:ind w:left="2142" w:right="501" w:hanging="1618"/>
                    <w:rPr>
                      <w:sz w:val="24"/>
                    </w:rPr>
                  </w:pPr>
                  <w:r>
                    <w:rPr>
                      <w:sz w:val="24"/>
                    </w:rPr>
                    <w:t>В форме дополнительного согл</w:t>
                  </w:r>
                  <w:r>
                    <w:rPr>
                      <w:sz w:val="24"/>
                    </w:rPr>
                    <w:t>ашения к основному трудовому договору</w:t>
                  </w:r>
                </w:p>
              </w:txbxContent>
            </v:textbox>
            <w10:wrap type="topAndBottom" anchorx="page"/>
          </v:shape>
        </w:pict>
      </w:r>
      <w:r>
        <w:pict>
          <v:group id="_x0000_s1035" style="position:absolute;left:0;text-align:left;margin-left:204.7pt;margin-top:115.05pt;width:319.95pt;height:54pt;z-index:251675648;mso-position-horizontal-relative:page" coordorigin="4094,2301" coordsize="6399,1080">
            <v:shape id="_x0000_s1037" style="position:absolute;left:6993;top:2308;width:300;height:594" coordorigin="6993,2309" coordsize="300,594" path="m6993,2457r75,l7068,2903r150,l7218,2457r75,l7143,2309r-150,148xe" filled="f">
              <v:path arrowok="t"/>
            </v:shape>
            <v:shape id="_x0000_s1036" type="#_x0000_t202" style="position:absolute;left:4101;top:2902;width:6384;height:471" filled="f">
              <v:textbox inset="0,0,0,0">
                <w:txbxContent>
                  <w:p w:rsidR="001E434E" w:rsidRDefault="00D83D28">
                    <w:pPr>
                      <w:spacing w:before="67"/>
                      <w:ind w:left="1004" w:right="1004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В </w:t>
                    </w:r>
                    <w:proofErr w:type="gramStart"/>
                    <w:r>
                      <w:rPr>
                        <w:sz w:val="24"/>
                      </w:rPr>
                      <w:t>порядке</w:t>
                    </w:r>
                    <w:proofErr w:type="gramEnd"/>
                    <w:r>
                      <w:rPr>
                        <w:sz w:val="24"/>
                      </w:rPr>
                      <w:t xml:space="preserve"> предусмотренном ст. 74 ТК РФ</w:t>
                    </w:r>
                  </w:p>
                </w:txbxContent>
              </v:textbox>
            </v:shape>
            <w10:wrap anchorx="page"/>
          </v:group>
        </w:pict>
      </w:r>
      <w:r w:rsidR="00D83D28">
        <w:t>На рисунке 3 представлены виды эффективных контрактов в зависимости от того, принимается ли работник вновь, либо уже состоит в трудовых отношениях.</w:t>
      </w:r>
    </w:p>
    <w:p w:rsidR="001E434E" w:rsidRDefault="001E434E">
      <w:pPr>
        <w:pStyle w:val="a3"/>
        <w:ind w:left="0"/>
        <w:jc w:val="left"/>
        <w:rPr>
          <w:sz w:val="20"/>
        </w:rPr>
      </w:pPr>
    </w:p>
    <w:p w:rsidR="001E434E" w:rsidRDefault="001E434E">
      <w:pPr>
        <w:pStyle w:val="a3"/>
        <w:spacing w:before="5"/>
        <w:ind w:left="0"/>
        <w:jc w:val="left"/>
        <w:rPr>
          <w:sz w:val="24"/>
        </w:rPr>
      </w:pPr>
      <w:r w:rsidRPr="001E434E">
        <w:pict>
          <v:shape id="_x0000_s1034" style="position:absolute;margin-left:173.85pt;margin-top:16.4pt;width:25.2pt;height:18.6pt;z-index:-251643904;mso-wrap-distance-left:0;mso-wrap-distance-right:0;mso-position-horizontal-relative:page" coordorigin="3477,328" coordsize="504,372" path="m3855,328r,93l3477,421r,186l3855,607r,93l3981,514,3855,328xe" filled="f">
            <v:path arrowok="t"/>
            <w10:wrap type="topAndBottom" anchorx="page"/>
          </v:shape>
        </w:pict>
      </w:r>
    </w:p>
    <w:p w:rsidR="001E434E" w:rsidRDefault="001E434E">
      <w:pPr>
        <w:pStyle w:val="a3"/>
        <w:ind w:left="0"/>
        <w:jc w:val="left"/>
        <w:rPr>
          <w:sz w:val="30"/>
        </w:rPr>
      </w:pPr>
    </w:p>
    <w:p w:rsidR="001E434E" w:rsidRDefault="001E434E">
      <w:pPr>
        <w:pStyle w:val="a3"/>
        <w:ind w:left="0"/>
        <w:jc w:val="left"/>
        <w:rPr>
          <w:sz w:val="30"/>
        </w:rPr>
      </w:pPr>
    </w:p>
    <w:p w:rsidR="001E434E" w:rsidRDefault="001E434E">
      <w:pPr>
        <w:pStyle w:val="a3"/>
        <w:ind w:left="0"/>
        <w:jc w:val="left"/>
        <w:rPr>
          <w:sz w:val="30"/>
        </w:rPr>
      </w:pPr>
    </w:p>
    <w:p w:rsidR="001E434E" w:rsidRDefault="001E434E">
      <w:pPr>
        <w:pStyle w:val="a3"/>
        <w:ind w:left="0"/>
        <w:jc w:val="left"/>
        <w:rPr>
          <w:sz w:val="30"/>
        </w:rPr>
      </w:pPr>
    </w:p>
    <w:p w:rsidR="001E434E" w:rsidRDefault="001E434E">
      <w:pPr>
        <w:pStyle w:val="a3"/>
        <w:ind w:left="0"/>
        <w:jc w:val="left"/>
        <w:rPr>
          <w:sz w:val="30"/>
        </w:rPr>
      </w:pPr>
    </w:p>
    <w:p w:rsidR="001E434E" w:rsidRDefault="001E434E">
      <w:pPr>
        <w:pStyle w:val="a3"/>
        <w:spacing w:before="2"/>
        <w:ind w:left="0"/>
        <w:jc w:val="left"/>
        <w:rPr>
          <w:sz w:val="24"/>
        </w:rPr>
      </w:pPr>
    </w:p>
    <w:p w:rsidR="001E434E" w:rsidRDefault="001E434E">
      <w:pPr>
        <w:pStyle w:val="a3"/>
        <w:ind w:left="2676"/>
      </w:pPr>
      <w:r>
        <w:pict>
          <v:shape id="_x0000_s1033" style="position:absolute;left:0;text-align:left;margin-left:173.85pt;margin-top:-80.4pt;width:25.2pt;height:18.6pt;z-index:251676672;mso-position-horizontal-relative:page" coordorigin="3477,-1608" coordsize="504,372" path="m3855,-1608r,93l3477,-1515r,186l3855,-1329r,93l3981,-1422r-126,-186xe" filled="f">
            <v:path arrowok="t"/>
            <w10:wrap anchorx="page"/>
          </v:shape>
        </w:pict>
      </w:r>
      <w:r>
        <w:pict>
          <v:shape id="_x0000_s1032" style="position:absolute;left:0;text-align:left;margin-left:352.65pt;margin-top:-55.9pt;width:12pt;height:21.95pt;z-index:251677696;mso-position-horizontal-relative:page" coordorigin="7053,-1118" coordsize="240,439" path="m7053,-1008r60,l7113,-679r120,l7233,-1008r60,l7173,-1118r-120,110xe" filled="f">
            <v:path arrowok="t"/>
            <w10:wrap anchorx="page"/>
          </v:shape>
        </w:pict>
      </w:r>
      <w:r>
        <w:pict>
          <v:group id="_x0000_s1029" style="position:absolute;left:0;text-align:left;margin-left:179.5pt;margin-top:-34.3pt;width:345.15pt;height:24.3pt;z-index:251679744;mso-position-horizontal-relative:page" coordorigin="3590,-686" coordsize="6903,486">
            <v:shape id="_x0000_s1031" style="position:absolute;left:3597;top:-580;width:504;height:372" coordorigin="3597,-580" coordsize="504,372" path="m3975,-580r,93l3597,-487r,186l3975,-301r,93l4101,-394,3975,-580xe" filled="f">
              <v:path arrowok="t"/>
            </v:shape>
            <v:shape id="_x0000_s1030" type="#_x0000_t202" style="position:absolute;left:4101;top:-679;width:6384;height:471" filled="f">
              <v:textbox inset="0,0,0,0">
                <w:txbxContent>
                  <w:p w:rsidR="001E434E" w:rsidRDefault="00D83D28">
                    <w:pPr>
                      <w:spacing w:before="68"/>
                      <w:ind w:left="1004" w:right="1004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В </w:t>
                    </w:r>
                    <w:proofErr w:type="gramStart"/>
                    <w:r>
                      <w:rPr>
                        <w:sz w:val="24"/>
                      </w:rPr>
                      <w:t>порядке</w:t>
                    </w:r>
                    <w:proofErr w:type="gramEnd"/>
                    <w:r>
                      <w:rPr>
                        <w:sz w:val="24"/>
                      </w:rPr>
                      <w:t xml:space="preserve"> предусмотренном ст. 74 ТК РФ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028" type="#_x0000_t202" style="position:absolute;left:0;text-align:left;margin-left:59.9pt;margin-top:-72.6pt;width:107.3pt;height:38.65pt;z-index:251680768;mso-position-horizontal-relative:page" filled="f">
            <v:textbox inset="0,0,0,0">
              <w:txbxContent>
                <w:p w:rsidR="001E434E" w:rsidRDefault="00D83D28">
                  <w:pPr>
                    <w:spacing w:before="67" w:line="276" w:lineRule="auto"/>
                    <w:ind w:left="683" w:right="311" w:hanging="348"/>
                    <w:rPr>
                      <w:sz w:val="24"/>
                    </w:rPr>
                  </w:pPr>
                  <w:r>
                    <w:rPr>
                      <w:sz w:val="24"/>
                    </w:rPr>
                    <w:t>Заключается с лицами</w:t>
                  </w:r>
                </w:p>
              </w:txbxContent>
            </v:textbox>
            <w10:wrap anchorx="page"/>
          </v:shape>
        </w:pict>
      </w:r>
      <w:r>
        <w:pict>
          <v:shape id="_x0000_s1027" type="#_x0000_t202" style="position:absolute;left:0;text-align:left;margin-left:205.05pt;margin-top:-80.4pt;width:319.2pt;height:24.5pt;z-index:251681792;mso-position-horizontal-relative:page" filled="f">
            <v:textbox inset="0,0,0,0">
              <w:txbxContent>
                <w:p w:rsidR="001E434E" w:rsidRDefault="00D83D28">
                  <w:pPr>
                    <w:spacing w:before="67"/>
                    <w:ind w:left="330"/>
                    <w:rPr>
                      <w:sz w:val="24"/>
                    </w:rPr>
                  </w:pPr>
                  <w:r>
                    <w:rPr>
                      <w:sz w:val="24"/>
                    </w:rPr>
                    <w:t>В форме трудового договора (эффективного контракта)</w:t>
                  </w:r>
                </w:p>
              </w:txbxContent>
            </v:textbox>
            <w10:wrap anchorx="page"/>
          </v:shape>
        </w:pict>
      </w:r>
      <w:r w:rsidR="00D83D28">
        <w:t>Рисунок 3 - Виды эффективных контрактов</w:t>
      </w:r>
    </w:p>
    <w:p w:rsidR="001E434E" w:rsidRDefault="00D83D28">
      <w:pPr>
        <w:pStyle w:val="a3"/>
        <w:spacing w:before="160" w:line="360" w:lineRule="auto"/>
        <w:ind w:right="1089" w:firstLine="708"/>
      </w:pPr>
      <w:r>
        <w:t>Множество современных исследований в сфере оплаты труда в бюджетном секторе посвящено сущности и условиям введения в практику эффективных контрактов в здравоохранении. Эффективный контракт в качестве основной из целей включает справедливую оценку оплаты тр</w:t>
      </w:r>
      <w:r>
        <w:t>уда, на основе вклада работника, достижения целевых показателей</w:t>
      </w:r>
      <w:r>
        <w:rPr>
          <w:spacing w:val="-18"/>
        </w:rPr>
        <w:t xml:space="preserve"> </w:t>
      </w:r>
      <w:r>
        <w:t>[4].</w:t>
      </w:r>
    </w:p>
    <w:p w:rsidR="001E434E" w:rsidRDefault="001E434E">
      <w:pPr>
        <w:pStyle w:val="a3"/>
        <w:ind w:left="0"/>
        <w:jc w:val="left"/>
        <w:rPr>
          <w:sz w:val="20"/>
        </w:rPr>
      </w:pPr>
    </w:p>
    <w:p w:rsidR="001E434E" w:rsidRDefault="001E434E">
      <w:pPr>
        <w:pStyle w:val="a3"/>
        <w:ind w:left="0"/>
        <w:jc w:val="left"/>
        <w:rPr>
          <w:sz w:val="20"/>
        </w:rPr>
      </w:pPr>
    </w:p>
    <w:p w:rsidR="001E434E" w:rsidRDefault="001E434E">
      <w:pPr>
        <w:pStyle w:val="a3"/>
        <w:spacing w:before="1"/>
        <w:ind w:left="0"/>
        <w:jc w:val="left"/>
        <w:rPr>
          <w:sz w:val="18"/>
        </w:rPr>
      </w:pPr>
      <w:r w:rsidRPr="001E434E">
        <w:pict>
          <v:line id="_x0000_s1026" style="position:absolute;z-index:-251642880;mso-wrap-distance-left:0;mso-wrap-distance-right:0;mso-position-horizontal-relative:page" from="56.65pt,12.8pt" to="200.7pt,12.8pt" strokeweight=".72pt">
            <w10:wrap type="topAndBottom" anchorx="page"/>
          </v:line>
        </w:pict>
      </w:r>
    </w:p>
    <w:p w:rsidR="001E434E" w:rsidRDefault="00D83D28">
      <w:pPr>
        <w:spacing w:before="42"/>
        <w:ind w:left="112"/>
        <w:rPr>
          <w:sz w:val="20"/>
        </w:rPr>
      </w:pPr>
      <w:r>
        <w:rPr>
          <w:position w:val="9"/>
          <w:sz w:val="13"/>
        </w:rPr>
        <w:t xml:space="preserve">3 </w:t>
      </w:r>
      <w:r>
        <w:rPr>
          <w:sz w:val="20"/>
        </w:rPr>
        <w:t>Электронный ресурс: «Бухгалтерский учет. Налоги. Аудит» https://</w:t>
      </w:r>
      <w:hyperlink r:id="rId8">
        <w:r>
          <w:rPr>
            <w:sz w:val="20"/>
          </w:rPr>
          <w:t>www.audit-it.ru/</w:t>
        </w:r>
      </w:hyperlink>
    </w:p>
    <w:p w:rsidR="001E434E" w:rsidRDefault="001E434E">
      <w:pPr>
        <w:rPr>
          <w:sz w:val="20"/>
        </w:rPr>
        <w:sectPr w:rsidR="001E434E">
          <w:pgSz w:w="11910" w:h="16840"/>
          <w:pgMar w:top="1040" w:right="40" w:bottom="280" w:left="1020" w:header="720" w:footer="720" w:gutter="0"/>
          <w:cols w:space="720"/>
        </w:sectPr>
      </w:pPr>
    </w:p>
    <w:p w:rsidR="001E434E" w:rsidRDefault="00D83D28">
      <w:pPr>
        <w:pStyle w:val="a3"/>
        <w:spacing w:before="67" w:line="360" w:lineRule="auto"/>
        <w:ind w:right="1097" w:firstLine="708"/>
      </w:pPr>
      <w:r>
        <w:lastRenderedPageBreak/>
        <w:t>При этом ключевым элементом внедрения эффекти</w:t>
      </w:r>
      <w:r>
        <w:t>вного контракта выступает выработка критериев эффективности деятельности работников, определения в соответствии с ними выплат стимулирующего характера.</w:t>
      </w:r>
    </w:p>
    <w:p w:rsidR="001E434E" w:rsidRDefault="00D83D28">
      <w:pPr>
        <w:pStyle w:val="a3"/>
        <w:spacing w:before="1" w:line="360" w:lineRule="auto"/>
        <w:ind w:right="1090" w:firstLine="708"/>
      </w:pPr>
      <w:r>
        <w:t>Принятый методологический подход предполагает, что система показателей эффективности должна носить «скво</w:t>
      </w:r>
      <w:r>
        <w:t>зной» характер: для учреждений устанавливаются целевые показатели, направленные  на повышение качества и эффективности медицинской помощи, на их основе организациями здравоохранения устанавливаются критерии для отдельных групп работников, для каждого работ</w:t>
      </w:r>
      <w:r>
        <w:t>ника, призванные обеспечить привязку уровня оплаты труда к трудовому вкладу. На практике обеспечить прозрачность, бесконфликтность и действенность стимулирующих выплат не удается. Итак, учитывая сказанное, утверждать, что стимулирующие выплаты действительн</w:t>
      </w:r>
      <w:r>
        <w:t>о выполняют функции справедливого определения оплаты труда в здравоохранении пока</w:t>
      </w:r>
      <w:r>
        <w:rPr>
          <w:spacing w:val="-1"/>
        </w:rPr>
        <w:t xml:space="preserve"> </w:t>
      </w:r>
      <w:r>
        <w:t>нельзя.</w:t>
      </w:r>
    </w:p>
    <w:p w:rsidR="001E434E" w:rsidRDefault="00D83D28">
      <w:pPr>
        <w:pStyle w:val="a3"/>
        <w:spacing w:before="2" w:line="360" w:lineRule="auto"/>
        <w:ind w:right="1091" w:firstLine="708"/>
      </w:pPr>
      <w:r>
        <w:t>В то же время, опыт внедрения института эффективного контракта, включающего в качестве надбавок стимулирующие выплаты, активно тиражируется на сферы образования, куль</w:t>
      </w:r>
      <w:r>
        <w:t>туры, сфере социального обслуживания [2]. При этом применение стимулирующих выплат сталкивается с проблемами, выявленными исследователями в сфере</w:t>
      </w:r>
      <w:r>
        <w:rPr>
          <w:spacing w:val="-10"/>
        </w:rPr>
        <w:t xml:space="preserve"> </w:t>
      </w:r>
      <w:r>
        <w:t>здравоохранения.</w:t>
      </w:r>
    </w:p>
    <w:p w:rsidR="001E434E" w:rsidRDefault="00D83D28">
      <w:pPr>
        <w:pStyle w:val="a3"/>
        <w:spacing w:line="360" w:lineRule="auto"/>
        <w:ind w:right="1089" w:firstLine="708"/>
      </w:pPr>
      <w:r>
        <w:t xml:space="preserve">Таким образом, стимулирующие добавки при оплате труда работников бюджетной сферы могут стать </w:t>
      </w:r>
      <w:r>
        <w:t>действенным механизмом установления справедливой оплаты труда в соответствии с трудовым вкладом каждого работника. В то же время, отсутствие выработанной методологии распределения стимулирующих выплат приводит к неэффективному начислению стимулирующих выпл</w:t>
      </w:r>
      <w:r>
        <w:t>ат, ведет к возможным коррупционным проявлениям. Авторы научных исследований сходятся во мнении о том, что в настоящее время существующий механизм оплаты труда работников бюджетных учреждений не обеспечивает справедливой оплаты затраченных усилий. При этом</w:t>
      </w:r>
      <w:r>
        <w:t xml:space="preserve"> эффективное применение стимулирующих выплат может послужить механизмом, обеспечивающим справедливую оплату за труд</w:t>
      </w:r>
      <w:r>
        <w:rPr>
          <w:spacing w:val="50"/>
        </w:rPr>
        <w:t xml:space="preserve"> </w:t>
      </w:r>
      <w:proofErr w:type="gramStart"/>
      <w:r>
        <w:t>в</w:t>
      </w:r>
      <w:proofErr w:type="gramEnd"/>
    </w:p>
    <w:p w:rsidR="001E434E" w:rsidRDefault="001E434E">
      <w:pPr>
        <w:spacing w:line="360" w:lineRule="auto"/>
        <w:sectPr w:rsidR="001E434E">
          <w:pgSz w:w="11910" w:h="16840"/>
          <w:pgMar w:top="1040" w:right="40" w:bottom="280" w:left="1020" w:header="720" w:footer="720" w:gutter="0"/>
          <w:cols w:space="720"/>
        </w:sectPr>
      </w:pPr>
    </w:p>
    <w:p w:rsidR="001E434E" w:rsidRDefault="00D83D28">
      <w:pPr>
        <w:pStyle w:val="a3"/>
        <w:spacing w:before="67" w:line="360" w:lineRule="auto"/>
        <w:ind w:right="1091"/>
      </w:pPr>
      <w:r>
        <w:lastRenderedPageBreak/>
        <w:t>бюджетной сфере. При этом требуется выработка методологии начисления стимулирующих доплат в отдельных сферах бюджетной деяте</w:t>
      </w:r>
      <w:r>
        <w:t>льности (здравоохранении, образовании, сфере культуры, сфере социального обслуживания) в зависимости от установленных контрольных (целевых) показателей и поставленных задач.</w:t>
      </w:r>
    </w:p>
    <w:p w:rsidR="001E434E" w:rsidRDefault="001E434E">
      <w:pPr>
        <w:pStyle w:val="a3"/>
        <w:spacing w:before="7"/>
        <w:ind w:left="0"/>
        <w:jc w:val="left"/>
        <w:rPr>
          <w:sz w:val="42"/>
        </w:rPr>
      </w:pPr>
    </w:p>
    <w:p w:rsidR="001E434E" w:rsidRDefault="00D83D28">
      <w:pPr>
        <w:pStyle w:val="Heading1"/>
        <w:ind w:left="3658"/>
        <w:jc w:val="both"/>
      </w:pPr>
      <w:r>
        <w:t>Список литературы</w:t>
      </w:r>
    </w:p>
    <w:p w:rsidR="001E434E" w:rsidRDefault="00D83D28">
      <w:pPr>
        <w:pStyle w:val="a4"/>
        <w:numPr>
          <w:ilvl w:val="0"/>
          <w:numId w:val="1"/>
        </w:numPr>
        <w:tabs>
          <w:tab w:val="left" w:pos="515"/>
        </w:tabs>
        <w:spacing w:before="156" w:line="360" w:lineRule="auto"/>
        <w:ind w:right="1094" w:firstLine="0"/>
        <w:jc w:val="both"/>
        <w:rPr>
          <w:sz w:val="28"/>
        </w:rPr>
      </w:pPr>
      <w:r>
        <w:rPr>
          <w:sz w:val="28"/>
        </w:rPr>
        <w:t xml:space="preserve">Буянова А.В. Место стимулирующих выплат в системе </w:t>
      </w:r>
      <w:proofErr w:type="gramStart"/>
      <w:r>
        <w:rPr>
          <w:sz w:val="28"/>
        </w:rPr>
        <w:t>оплаты труда работников бюджетной сферы // Проблемы экономики</w:t>
      </w:r>
      <w:proofErr w:type="gramEnd"/>
      <w:r>
        <w:rPr>
          <w:sz w:val="28"/>
        </w:rPr>
        <w:t xml:space="preserve"> и юридической практики. – 2018. - № 6. – С.</w:t>
      </w:r>
      <w:r>
        <w:rPr>
          <w:spacing w:val="-12"/>
          <w:sz w:val="28"/>
        </w:rPr>
        <w:t xml:space="preserve"> </w:t>
      </w:r>
      <w:r>
        <w:rPr>
          <w:sz w:val="28"/>
        </w:rPr>
        <w:t>162-165.</w:t>
      </w:r>
    </w:p>
    <w:p w:rsidR="001E434E" w:rsidRDefault="00D83D28">
      <w:pPr>
        <w:pStyle w:val="a4"/>
        <w:numPr>
          <w:ilvl w:val="0"/>
          <w:numId w:val="1"/>
        </w:numPr>
        <w:tabs>
          <w:tab w:val="left" w:pos="450"/>
        </w:tabs>
        <w:spacing w:before="1" w:line="360" w:lineRule="auto"/>
        <w:ind w:right="1088" w:firstLine="0"/>
        <w:jc w:val="both"/>
        <w:rPr>
          <w:sz w:val="28"/>
        </w:rPr>
      </w:pPr>
      <w:r>
        <w:rPr>
          <w:sz w:val="28"/>
        </w:rPr>
        <w:t>Васильев С.В. Эффективный контра</w:t>
      </w:r>
      <w:proofErr w:type="gramStart"/>
      <w:r>
        <w:rPr>
          <w:sz w:val="28"/>
        </w:rPr>
        <w:t>кт в сф</w:t>
      </w:r>
      <w:proofErr w:type="gramEnd"/>
      <w:r>
        <w:rPr>
          <w:sz w:val="28"/>
        </w:rPr>
        <w:t xml:space="preserve">ере социального обслуживания населения // Экономика </w:t>
      </w:r>
      <w:r>
        <w:rPr>
          <w:sz w:val="28"/>
        </w:rPr>
        <w:t>и бизнес: теория и практика. – 2018. -№ 11-1. – С. 47- 54.</w:t>
      </w:r>
    </w:p>
    <w:p w:rsidR="001E434E" w:rsidRDefault="00D83D28">
      <w:pPr>
        <w:pStyle w:val="a4"/>
        <w:numPr>
          <w:ilvl w:val="0"/>
          <w:numId w:val="1"/>
        </w:numPr>
        <w:tabs>
          <w:tab w:val="left" w:pos="512"/>
        </w:tabs>
        <w:spacing w:line="360" w:lineRule="auto"/>
        <w:ind w:right="1094" w:firstLine="0"/>
        <w:jc w:val="both"/>
        <w:rPr>
          <w:sz w:val="28"/>
        </w:rPr>
      </w:pPr>
      <w:r>
        <w:rPr>
          <w:sz w:val="28"/>
        </w:rPr>
        <w:t xml:space="preserve">Евдокимов П.А. </w:t>
      </w:r>
      <w:proofErr w:type="gramStart"/>
      <w:r>
        <w:rPr>
          <w:sz w:val="28"/>
        </w:rPr>
        <w:t>Методический подход</w:t>
      </w:r>
      <w:proofErr w:type="gramEnd"/>
      <w:r>
        <w:rPr>
          <w:sz w:val="28"/>
        </w:rPr>
        <w:t xml:space="preserve"> к оценке эффективности труда работников бюджетных организаций для осуществления стимулирующих выплат: Российская наука в современном мире сборник статей XX междун</w:t>
      </w:r>
      <w:r>
        <w:rPr>
          <w:sz w:val="28"/>
        </w:rPr>
        <w:t>ародной научно-практической конференции. - 2019. - С.</w:t>
      </w:r>
      <w:r>
        <w:rPr>
          <w:spacing w:val="-11"/>
          <w:sz w:val="28"/>
        </w:rPr>
        <w:t xml:space="preserve"> </w:t>
      </w:r>
      <w:r>
        <w:rPr>
          <w:sz w:val="28"/>
        </w:rPr>
        <w:t>67-69.</w:t>
      </w:r>
    </w:p>
    <w:p w:rsidR="001E434E" w:rsidRDefault="00D83D28">
      <w:pPr>
        <w:pStyle w:val="a4"/>
        <w:numPr>
          <w:ilvl w:val="0"/>
          <w:numId w:val="1"/>
        </w:numPr>
        <w:tabs>
          <w:tab w:val="left" w:pos="527"/>
        </w:tabs>
        <w:spacing w:line="360" w:lineRule="auto"/>
        <w:ind w:right="1092" w:firstLine="0"/>
        <w:jc w:val="both"/>
        <w:rPr>
          <w:sz w:val="28"/>
        </w:rPr>
      </w:pPr>
      <w:proofErr w:type="spellStart"/>
      <w:r>
        <w:rPr>
          <w:sz w:val="28"/>
        </w:rPr>
        <w:t>Козеева</w:t>
      </w:r>
      <w:proofErr w:type="spellEnd"/>
      <w:r>
        <w:rPr>
          <w:sz w:val="28"/>
        </w:rPr>
        <w:t xml:space="preserve"> Т.Н., Коновалова В.Г. Внедрение эффективных контрактов в организациях здравоохранения: проблемы и условия их преодоления // Вестник университета.- 2016. -№ 11. – С.</w:t>
      </w:r>
      <w:r>
        <w:rPr>
          <w:spacing w:val="-5"/>
          <w:sz w:val="28"/>
        </w:rPr>
        <w:t xml:space="preserve"> </w:t>
      </w:r>
      <w:r>
        <w:rPr>
          <w:sz w:val="28"/>
        </w:rPr>
        <w:t>201-204.</w:t>
      </w:r>
    </w:p>
    <w:p w:rsidR="001E434E" w:rsidRDefault="00D83D28">
      <w:pPr>
        <w:pStyle w:val="a4"/>
        <w:numPr>
          <w:ilvl w:val="0"/>
          <w:numId w:val="1"/>
        </w:numPr>
        <w:tabs>
          <w:tab w:val="left" w:pos="462"/>
        </w:tabs>
        <w:spacing w:line="360" w:lineRule="auto"/>
        <w:ind w:right="1098" w:firstLine="0"/>
        <w:jc w:val="both"/>
        <w:rPr>
          <w:sz w:val="28"/>
        </w:rPr>
      </w:pPr>
      <w:proofErr w:type="spellStart"/>
      <w:r>
        <w:rPr>
          <w:sz w:val="28"/>
        </w:rPr>
        <w:t>Манохина</w:t>
      </w:r>
      <w:proofErr w:type="spellEnd"/>
      <w:r>
        <w:rPr>
          <w:sz w:val="28"/>
        </w:rPr>
        <w:t xml:space="preserve"> А.Р.</w:t>
      </w:r>
      <w:r>
        <w:rPr>
          <w:sz w:val="28"/>
        </w:rPr>
        <w:t xml:space="preserve"> Проблемы заработной платы в бюджетном учреждении // Современные научные исследования и инновации. 2017. № 6 [Электронный ресурс]. URL: </w:t>
      </w:r>
      <w:hyperlink r:id="rId9">
        <w:r>
          <w:rPr>
            <w:sz w:val="28"/>
          </w:rPr>
          <w:t>http://web.snauka.ru/issues/2017/06/83517</w:t>
        </w:r>
      </w:hyperlink>
      <w:r>
        <w:rPr>
          <w:sz w:val="28"/>
        </w:rPr>
        <w:t xml:space="preserve"> (дата обращения: 01</w:t>
      </w:r>
      <w:r>
        <w:rPr>
          <w:sz w:val="28"/>
        </w:rPr>
        <w:t>.02.2020).</w:t>
      </w:r>
    </w:p>
    <w:p w:rsidR="001E434E" w:rsidRDefault="00D83D28">
      <w:pPr>
        <w:pStyle w:val="a4"/>
        <w:numPr>
          <w:ilvl w:val="0"/>
          <w:numId w:val="1"/>
        </w:numPr>
        <w:tabs>
          <w:tab w:val="left" w:pos="536"/>
        </w:tabs>
        <w:spacing w:line="360" w:lineRule="auto"/>
        <w:ind w:right="1095" w:firstLine="0"/>
        <w:jc w:val="both"/>
        <w:rPr>
          <w:sz w:val="28"/>
        </w:rPr>
      </w:pPr>
      <w:r>
        <w:rPr>
          <w:sz w:val="28"/>
        </w:rPr>
        <w:t>Официальный сайт Федеральной службы государственной статистики. Режим доступа:</w:t>
      </w:r>
      <w:r>
        <w:rPr>
          <w:spacing w:val="-2"/>
          <w:sz w:val="28"/>
        </w:rPr>
        <w:t xml:space="preserve"> </w:t>
      </w:r>
      <w:hyperlink r:id="rId10">
        <w:r>
          <w:rPr>
            <w:sz w:val="28"/>
          </w:rPr>
          <w:t>http://old.gks.ru/</w:t>
        </w:r>
      </w:hyperlink>
    </w:p>
    <w:p w:rsidR="001E434E" w:rsidRDefault="00D83D28">
      <w:pPr>
        <w:pStyle w:val="a4"/>
        <w:numPr>
          <w:ilvl w:val="0"/>
          <w:numId w:val="1"/>
        </w:numPr>
        <w:tabs>
          <w:tab w:val="left" w:pos="432"/>
        </w:tabs>
        <w:spacing w:before="1" w:line="360" w:lineRule="auto"/>
        <w:ind w:right="1099" w:firstLine="0"/>
        <w:jc w:val="both"/>
        <w:rPr>
          <w:sz w:val="28"/>
        </w:rPr>
      </w:pPr>
      <w:r>
        <w:rPr>
          <w:sz w:val="28"/>
        </w:rPr>
        <w:t>Указ Президента РФ от 07.05.2012 № 597 «О мероприятиях по реализации государственной 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политики».</w:t>
      </w:r>
    </w:p>
    <w:p w:rsidR="001E434E" w:rsidRDefault="00D83D28">
      <w:pPr>
        <w:pStyle w:val="a4"/>
        <w:numPr>
          <w:ilvl w:val="0"/>
          <w:numId w:val="1"/>
        </w:numPr>
        <w:tabs>
          <w:tab w:val="left" w:pos="1347"/>
        </w:tabs>
        <w:spacing w:line="360" w:lineRule="auto"/>
        <w:ind w:right="1093" w:firstLine="708"/>
        <w:jc w:val="both"/>
        <w:rPr>
          <w:sz w:val="28"/>
        </w:rPr>
      </w:pPr>
      <w:r>
        <w:rPr>
          <w:sz w:val="28"/>
        </w:rPr>
        <w:t>Электронный ресурс: «Бухгалтерский учет. Налоги. Аудит»</w:t>
      </w:r>
      <w:hyperlink r:id="rId11">
        <w:r>
          <w:rPr>
            <w:color w:val="0000FF"/>
            <w:sz w:val="28"/>
            <w:u w:val="single" w:color="0000FF"/>
          </w:rPr>
          <w:t xml:space="preserve"> https://www.audit-it.ru/</w:t>
        </w:r>
      </w:hyperlink>
    </w:p>
    <w:p w:rsidR="001E434E" w:rsidRDefault="001E434E">
      <w:pPr>
        <w:spacing w:line="360" w:lineRule="auto"/>
        <w:jc w:val="both"/>
        <w:rPr>
          <w:sz w:val="28"/>
        </w:rPr>
        <w:sectPr w:rsidR="001E434E">
          <w:pgSz w:w="11910" w:h="16840"/>
          <w:pgMar w:top="1040" w:right="40" w:bottom="280" w:left="1020" w:header="720" w:footer="720" w:gutter="0"/>
          <w:cols w:space="720"/>
        </w:sectPr>
      </w:pPr>
    </w:p>
    <w:p w:rsidR="001E434E" w:rsidRDefault="00D83D28">
      <w:pPr>
        <w:pStyle w:val="a3"/>
        <w:spacing w:before="67"/>
        <w:ind w:left="6884"/>
        <w:jc w:val="left"/>
      </w:pPr>
      <w:r>
        <w:lastRenderedPageBreak/>
        <w:t>© А.С Григорьева,</w:t>
      </w:r>
      <w:r>
        <w:rPr>
          <w:spacing w:val="-8"/>
        </w:rPr>
        <w:t xml:space="preserve"> </w:t>
      </w:r>
      <w:r>
        <w:t>2020</w:t>
      </w:r>
    </w:p>
    <w:p w:rsidR="001E434E" w:rsidRDefault="00D83D28">
      <w:pPr>
        <w:pStyle w:val="a3"/>
        <w:spacing w:before="163"/>
        <w:ind w:left="7026"/>
        <w:jc w:val="left"/>
      </w:pPr>
      <w:r>
        <w:t>© С.А. Полякова,</w:t>
      </w:r>
      <w:r>
        <w:rPr>
          <w:spacing w:val="-5"/>
        </w:rPr>
        <w:t xml:space="preserve"> </w:t>
      </w:r>
      <w:r>
        <w:t>2020</w:t>
      </w:r>
    </w:p>
    <w:p w:rsidR="001E434E" w:rsidRDefault="00D83D28">
      <w:pPr>
        <w:pStyle w:val="a3"/>
        <w:spacing w:before="161"/>
        <w:ind w:left="7026"/>
        <w:jc w:val="left"/>
      </w:pPr>
      <w:r>
        <w:t>© Е.В. Малахова,</w:t>
      </w:r>
      <w:r>
        <w:rPr>
          <w:spacing w:val="-7"/>
        </w:rPr>
        <w:t xml:space="preserve"> </w:t>
      </w:r>
      <w:r>
        <w:t>2020</w:t>
      </w:r>
    </w:p>
    <w:sectPr w:rsidR="001E434E" w:rsidSect="001E434E">
      <w:pgSz w:w="11910" w:h="16840"/>
      <w:pgMar w:top="1040" w:right="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B3CBD"/>
    <w:multiLevelType w:val="hybridMultilevel"/>
    <w:tmpl w:val="DC10DAD4"/>
    <w:lvl w:ilvl="0" w:tplc="87147818">
      <w:start w:val="1"/>
      <w:numFmt w:val="decimal"/>
      <w:lvlText w:val="%1."/>
      <w:lvlJc w:val="left"/>
      <w:pPr>
        <w:ind w:left="112" w:hanging="40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EFA7776">
      <w:numFmt w:val="bullet"/>
      <w:lvlText w:val="•"/>
      <w:lvlJc w:val="left"/>
      <w:pPr>
        <w:ind w:left="1192" w:hanging="402"/>
      </w:pPr>
      <w:rPr>
        <w:rFonts w:hint="default"/>
        <w:lang w:val="ru-RU" w:eastAsia="ru-RU" w:bidi="ru-RU"/>
      </w:rPr>
    </w:lvl>
    <w:lvl w:ilvl="2" w:tplc="6814441C">
      <w:numFmt w:val="bullet"/>
      <w:lvlText w:val="•"/>
      <w:lvlJc w:val="left"/>
      <w:pPr>
        <w:ind w:left="2265" w:hanging="402"/>
      </w:pPr>
      <w:rPr>
        <w:rFonts w:hint="default"/>
        <w:lang w:val="ru-RU" w:eastAsia="ru-RU" w:bidi="ru-RU"/>
      </w:rPr>
    </w:lvl>
    <w:lvl w:ilvl="3" w:tplc="65E463F2">
      <w:numFmt w:val="bullet"/>
      <w:lvlText w:val="•"/>
      <w:lvlJc w:val="left"/>
      <w:pPr>
        <w:ind w:left="3337" w:hanging="402"/>
      </w:pPr>
      <w:rPr>
        <w:rFonts w:hint="default"/>
        <w:lang w:val="ru-RU" w:eastAsia="ru-RU" w:bidi="ru-RU"/>
      </w:rPr>
    </w:lvl>
    <w:lvl w:ilvl="4" w:tplc="D7BAA7D6">
      <w:numFmt w:val="bullet"/>
      <w:lvlText w:val="•"/>
      <w:lvlJc w:val="left"/>
      <w:pPr>
        <w:ind w:left="4410" w:hanging="402"/>
      </w:pPr>
      <w:rPr>
        <w:rFonts w:hint="default"/>
        <w:lang w:val="ru-RU" w:eastAsia="ru-RU" w:bidi="ru-RU"/>
      </w:rPr>
    </w:lvl>
    <w:lvl w:ilvl="5" w:tplc="712C0E16">
      <w:numFmt w:val="bullet"/>
      <w:lvlText w:val="•"/>
      <w:lvlJc w:val="left"/>
      <w:pPr>
        <w:ind w:left="5483" w:hanging="402"/>
      </w:pPr>
      <w:rPr>
        <w:rFonts w:hint="default"/>
        <w:lang w:val="ru-RU" w:eastAsia="ru-RU" w:bidi="ru-RU"/>
      </w:rPr>
    </w:lvl>
    <w:lvl w:ilvl="6" w:tplc="A166343E">
      <w:numFmt w:val="bullet"/>
      <w:lvlText w:val="•"/>
      <w:lvlJc w:val="left"/>
      <w:pPr>
        <w:ind w:left="6555" w:hanging="402"/>
      </w:pPr>
      <w:rPr>
        <w:rFonts w:hint="default"/>
        <w:lang w:val="ru-RU" w:eastAsia="ru-RU" w:bidi="ru-RU"/>
      </w:rPr>
    </w:lvl>
    <w:lvl w:ilvl="7" w:tplc="866EC452">
      <w:numFmt w:val="bullet"/>
      <w:lvlText w:val="•"/>
      <w:lvlJc w:val="left"/>
      <w:pPr>
        <w:ind w:left="7628" w:hanging="402"/>
      </w:pPr>
      <w:rPr>
        <w:rFonts w:hint="default"/>
        <w:lang w:val="ru-RU" w:eastAsia="ru-RU" w:bidi="ru-RU"/>
      </w:rPr>
    </w:lvl>
    <w:lvl w:ilvl="8" w:tplc="251AB260">
      <w:numFmt w:val="bullet"/>
      <w:lvlText w:val="•"/>
      <w:lvlJc w:val="left"/>
      <w:pPr>
        <w:ind w:left="8701" w:hanging="402"/>
      </w:pPr>
      <w:rPr>
        <w:rFonts w:hint="default"/>
        <w:lang w:val="ru-RU" w:eastAsia="ru-RU" w:bidi="ru-RU"/>
      </w:rPr>
    </w:lvl>
  </w:abstractNum>
  <w:abstractNum w:abstractNumId="1">
    <w:nsid w:val="5F6204A6"/>
    <w:multiLevelType w:val="hybridMultilevel"/>
    <w:tmpl w:val="17B0244A"/>
    <w:lvl w:ilvl="0" w:tplc="89585550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79E04B4">
      <w:numFmt w:val="bullet"/>
      <w:lvlText w:val="•"/>
      <w:lvlJc w:val="left"/>
      <w:pPr>
        <w:ind w:left="1192" w:hanging="164"/>
      </w:pPr>
      <w:rPr>
        <w:rFonts w:hint="default"/>
        <w:lang w:val="ru-RU" w:eastAsia="ru-RU" w:bidi="ru-RU"/>
      </w:rPr>
    </w:lvl>
    <w:lvl w:ilvl="2" w:tplc="CB446F82">
      <w:numFmt w:val="bullet"/>
      <w:lvlText w:val="•"/>
      <w:lvlJc w:val="left"/>
      <w:pPr>
        <w:ind w:left="2265" w:hanging="164"/>
      </w:pPr>
      <w:rPr>
        <w:rFonts w:hint="default"/>
        <w:lang w:val="ru-RU" w:eastAsia="ru-RU" w:bidi="ru-RU"/>
      </w:rPr>
    </w:lvl>
    <w:lvl w:ilvl="3" w:tplc="4A587EC0">
      <w:numFmt w:val="bullet"/>
      <w:lvlText w:val="•"/>
      <w:lvlJc w:val="left"/>
      <w:pPr>
        <w:ind w:left="3337" w:hanging="164"/>
      </w:pPr>
      <w:rPr>
        <w:rFonts w:hint="default"/>
        <w:lang w:val="ru-RU" w:eastAsia="ru-RU" w:bidi="ru-RU"/>
      </w:rPr>
    </w:lvl>
    <w:lvl w:ilvl="4" w:tplc="2C5053BC">
      <w:numFmt w:val="bullet"/>
      <w:lvlText w:val="•"/>
      <w:lvlJc w:val="left"/>
      <w:pPr>
        <w:ind w:left="4410" w:hanging="164"/>
      </w:pPr>
      <w:rPr>
        <w:rFonts w:hint="default"/>
        <w:lang w:val="ru-RU" w:eastAsia="ru-RU" w:bidi="ru-RU"/>
      </w:rPr>
    </w:lvl>
    <w:lvl w:ilvl="5" w:tplc="C5001E66">
      <w:numFmt w:val="bullet"/>
      <w:lvlText w:val="•"/>
      <w:lvlJc w:val="left"/>
      <w:pPr>
        <w:ind w:left="5483" w:hanging="164"/>
      </w:pPr>
      <w:rPr>
        <w:rFonts w:hint="default"/>
        <w:lang w:val="ru-RU" w:eastAsia="ru-RU" w:bidi="ru-RU"/>
      </w:rPr>
    </w:lvl>
    <w:lvl w:ilvl="6" w:tplc="AAA4C75E">
      <w:numFmt w:val="bullet"/>
      <w:lvlText w:val="•"/>
      <w:lvlJc w:val="left"/>
      <w:pPr>
        <w:ind w:left="6555" w:hanging="164"/>
      </w:pPr>
      <w:rPr>
        <w:rFonts w:hint="default"/>
        <w:lang w:val="ru-RU" w:eastAsia="ru-RU" w:bidi="ru-RU"/>
      </w:rPr>
    </w:lvl>
    <w:lvl w:ilvl="7" w:tplc="DBBC4ED6">
      <w:numFmt w:val="bullet"/>
      <w:lvlText w:val="•"/>
      <w:lvlJc w:val="left"/>
      <w:pPr>
        <w:ind w:left="7628" w:hanging="164"/>
      </w:pPr>
      <w:rPr>
        <w:rFonts w:hint="default"/>
        <w:lang w:val="ru-RU" w:eastAsia="ru-RU" w:bidi="ru-RU"/>
      </w:rPr>
    </w:lvl>
    <w:lvl w:ilvl="8" w:tplc="DC0C794C">
      <w:numFmt w:val="bullet"/>
      <w:lvlText w:val="•"/>
      <w:lvlJc w:val="left"/>
      <w:pPr>
        <w:ind w:left="8701" w:hanging="164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E434E"/>
    <w:rsid w:val="001710F9"/>
    <w:rsid w:val="001E434E"/>
    <w:rsid w:val="004C0CFF"/>
    <w:rsid w:val="00D83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E434E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43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E434E"/>
    <w:pPr>
      <w:ind w:left="112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1E434E"/>
    <w:pPr>
      <w:ind w:left="794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E434E"/>
    <w:pPr>
      <w:spacing w:before="7" w:line="318" w:lineRule="exact"/>
      <w:ind w:right="1091"/>
      <w:jc w:val="right"/>
      <w:outlineLvl w:val="2"/>
    </w:pPr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1E434E"/>
    <w:pPr>
      <w:ind w:left="112"/>
      <w:jc w:val="both"/>
    </w:pPr>
  </w:style>
  <w:style w:type="paragraph" w:customStyle="1" w:styleId="TableParagraph">
    <w:name w:val="Table Paragraph"/>
    <w:basedOn w:val="a"/>
    <w:uiPriority w:val="1"/>
    <w:qFormat/>
    <w:rsid w:val="001E434E"/>
  </w:style>
  <w:style w:type="paragraph" w:styleId="a5">
    <w:name w:val="Balloon Text"/>
    <w:basedOn w:val="a"/>
    <w:link w:val="a6"/>
    <w:uiPriority w:val="99"/>
    <w:semiHidden/>
    <w:unhideWhenUsed/>
    <w:rsid w:val="004C0C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CFF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dit-i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eb.snauka.ru/issues/2017/06/8351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d.gks.ru/" TargetMode="External"/><Relationship Id="rId11" Type="http://schemas.openxmlformats.org/officeDocument/2006/relationships/hyperlink" Target="https://www.audit-it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old.gk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b.snauka.ru/issues/2017/06/835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Hp</cp:lastModifiedBy>
  <cp:revision>2</cp:revision>
  <dcterms:created xsi:type="dcterms:W3CDTF">2020-05-01T13:44:00Z</dcterms:created>
  <dcterms:modified xsi:type="dcterms:W3CDTF">2020-05-01T13:44:00Z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2020-05-01T00:00:00Z</vt:filetime>
  </property>
</Properties>
</file>